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24-TA-2262: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14. novembra noteikumos Nr. 656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ieviest papildinošās saimnieciskās darbības pašdeklarēšanās principu, t.i. paredzot, ka Finansējuma saņēmējs visā projekta dzīves ciklā sagatavo ikgadējus pārskatus par papildinošās saimnieciskās darbības un papildpakalpjumu apjomu un nodrošina šajā punktā minēto pārskatu un aprēķinus pamatojošo dokumentu pieejamību papildinošās saimnieciskās darbības un papildpakalpjumu uzraudzībai. Ja finansējuma saņēmējs konstatē, ka ir pārsniegts šo noteikumu 32. punktā minētais 20 procentu apjoms no infrastruktūras kopējās gada jaudas un/vai ka minētā infrastruktūra tiek izmantotas citai saimnieciskai darbībai, kas nav uzskatāma par papildinošu saimniecisku darbību, tas civiltiesiskajā līgumā vai vienošanās par projekta īstenošanu noteiktajā termiņā iesniedz sadarbības iestādei ziņojumu par konstatēto šo noteikumu 32. punktā minēto nosacījumu pārkāpumu.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kārtība kādā finansējuma saņēmējs sniedz informāciju papildinošās saimnieciskās darbības un papildpakalpjumu uzraudzībai nav noteikta Ministru kabineta noteikumos Nr. 656, tad šāds padeklarēšanās princips tiks noteikts metodikā papildinošas saimnieciskās darbības ieņēmumu uzraudzības nodrošināšanai vai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noteikumu projektu arī tiek precizēts un papildināts 4.2.1.3. pasākuma "Infrastruktūras un mācību vides pilnveide efektīvas, kvalitatīvas un mūsdienīgas izglītības īstenošanai speciālās izglītības iestādēs"  attiecināmo izmaksu saraksts, un daļa no projekta iesniegumiem jau ir apstiprināta, tad lūdzam papildināt anotācijas 1. sadaļas “Tiesību akta projekta izstrādes nepieciešamība” 1.3. apakšsadaļu “Pašreizējā situācija, problēmas un risinājumi” ar informāciju par grozījuma ietekmi uz īstenotajiem projektiem, kā arī uz projektu iesniegumiem, kas vēl nav apstiprināti.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uz projektu iesniegumu atlasi un projektu iesniedzējiem, jo precizējot un papildinot attiecināmo izmaksu sarakstu, tiek veicināta pilnvērtīgāka, tostarp drošāka, mācību vides uzlabošana projektu iesniegumos iekļautajās speciālās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tiek plānot pilna apjoma būvniecība, lūdzam izvērtēt pieteikto projektu saturu un papildināt anotāciju ar informāciju, vai ar noteikumu projektu plānotās investīcijas (īpaši ņemot vērā paplašinātas atbalstāmas darbības un izmaksas) atbilst Apvienoto Nāciju organizācijas Konvencijas par personu ar invaliditāti tiesībām prasībām, tostarp 4. un 5. vispārīgajam komentāram un Konvencijas par personu ar invaliditāti tiesībām komitejas noslēguma apsvērumiem vispārīgajiem principiem, cilvēktiesību prasībām, proti, Pamattiesību hartai, Eiropas sociālo tiesību pīlāram un Stratēģijai par personu ar invaliditāti tiesībām 2021.–2030. gadam, t.sk. ka kopumā veicot investīcijas nevar tikt veicināta nelabvēlīgākā situācijā esošu grupu segregācija/ izolācija.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nemaina sākotnēji Ministru kabineta noteikumu Nr. 656 anotācijā noteikto, ka 4.2.1.3. pasākuma ieviešana veicinās speciālās izglītības iestāžu vides pieejamību, un atbilstoši Ministru kabineta noteikumu Nr. 656 26.2. apakšpunktā noteiktajam, 4.2.1.3. pasākuma finansējuma saņēmējiem ir jāievēro horizontālo principu "Vienlīdzība, iekļaušana, nediskriminācija un pamattiesību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Pasākumam plānotais un pieejamais kopējais finansējums ir 16 066 236 </w:t>
            </w:r>
            <w:r w:rsidR="00000000" w:rsidRPr="00000000" w:rsidDel="00000000">
              <w:rPr>
                <w:i w:val="1"/>
                <w:rtl w:val="0"/>
              </w:rPr>
              <w:t xml:space="preserve">euro</w:t>
            </w:r>
            <w:r w:rsidR="00000000" w:rsidRPr="00000000" w:rsidDel="00000000">
              <w:rPr>
                <w:rtl w:val="0"/>
              </w:rPr>
              <w:t xml:space="preserve">, tai skaitā Eiropas Reģionālās attīstības fonda finansējums 13 656 301 </w:t>
            </w:r>
            <w:r w:rsidR="00000000" w:rsidRPr="00000000" w:rsidDel="00000000">
              <w:rPr>
                <w:i w:val="1"/>
                <w:rtl w:val="0"/>
              </w:rPr>
              <w:t xml:space="preserve">euro</w:t>
            </w:r>
            <w:r w:rsidR="00000000" w:rsidRPr="00000000" w:rsidDel="00000000">
              <w:rPr>
                <w:rtl w:val="0"/>
              </w:rPr>
              <w:t xml:space="preserve"> un pašvaldību līdzfinansējums 2 409 935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nacionālā līdzfinansējuma apjomu par 1 EUR, lai nodrošinātu atbilstību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nosacījumam dalībvalstij nodrošināt līdzfinansējuma likmi 85%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par precizēto finansējumu, t.sk. tā atbilstību konkrētiem Eiropas Savienības kohēzijas politikas programmas 2021.–2027. gadam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iesūtīt precizētu 4.2.1.specifiskā atbalsta mērķa rādītāju metodoloģijas aprakstu (rādītāju pasi) attiecībā uz finansējuma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Pasākumam plānotais un pieejamais kopējais finansējums ir </w:t>
            </w:r>
            <w:r w:rsidR="00000000" w:rsidRPr="00000000" w:rsidDel="00000000">
              <w:rPr>
                <w:b w:val="1"/>
                <w:rtl w:val="0"/>
              </w:rPr>
              <w:t xml:space="preserve">16 066 237</w:t>
            </w:r>
            <w:r w:rsidR="00000000" w:rsidRPr="00000000" w:rsidDel="00000000">
              <w:rPr>
                <w:rtl w:val="0"/>
              </w:rPr>
              <w:t xml:space="preserve"> euro, tai skaitā Eiropas Reģionālās attīstības fonda finansējums 13 656 301 euro un pašvaldību līdzfinansējums </w:t>
            </w:r>
            <w:r w:rsidR="00000000" w:rsidRPr="00000000" w:rsidDel="00000000">
              <w:rPr>
                <w:b w:val="1"/>
                <w:rtl w:val="0"/>
              </w:rPr>
              <w:t xml:space="preserve">2 409 936 </w:t>
            </w:r>
            <w:r w:rsidR="00000000" w:rsidRPr="00000000" w:rsidDel="00000000">
              <w:rPr>
                <w:rtl w:val="0"/>
              </w:rPr>
              <w:t xml:space="preserve">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Pasākumam plānotais un pieejamais kopējais finansējums ir 16 066 237 </w:t>
            </w:r>
            <w:r w:rsidR="00000000" w:rsidRPr="00000000" w:rsidDel="00000000">
              <w:rPr>
                <w:i w:val="1"/>
                <w:rtl w:val="0"/>
              </w:rPr>
              <w:t xml:space="preserve">euro</w:t>
            </w:r>
            <w:r w:rsidR="00000000" w:rsidRPr="00000000" w:rsidDel="00000000">
              <w:rPr>
                <w:rtl w:val="0"/>
              </w:rPr>
              <w:t xml:space="preserve">, tai skaitā Eiropas Reģionālās attīstības fonda finansējums 13 656 301 </w:t>
            </w:r>
            <w:r w:rsidR="00000000" w:rsidRPr="00000000" w:rsidDel="00000000">
              <w:rPr>
                <w:i w:val="1"/>
                <w:rtl w:val="0"/>
              </w:rPr>
              <w:t xml:space="preserve">euro</w:t>
            </w:r>
            <w:r w:rsidR="00000000" w:rsidRPr="00000000" w:rsidDel="00000000">
              <w:rPr>
                <w:rtl w:val="0"/>
              </w:rPr>
              <w:t xml:space="preserve"> un pašvaldību līdzfinansējums 2 409 936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gaiteņu, kāpņu, tostarp evakuācijas kāpņu, un sanitāro mezglu būvniecības, pārbūves, atjaunošanas un aprīkošanas izmaksas, ja tiek īstenoti šo noteikumu 18.2.1. apakšpunktā minētie darbi;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šo punktu nevajag papildināt un izteikt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gaiteņu, kāpņu, tostarp evakuācijas kāpņu, un sanitāro mezglu būvniecības, pārbūves, atjaunošanas un aprīkošanas izmaksas, ja tiek īstenoti šo noteikumu 18.2.1. apakšpunktā minētie darbi, izņemot gadījumus, ja veicamie darbi nepieciešami piekļūstamības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656 18.2.2. apakšpunkta redakcija netiek grozīta, lai saglabātu mērķtiecīgas investīcijas mācību vides – īpaši mācību telpu uzlabošanai.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gaiteņu, kāpņu, tostarp evakuācijas kāpņu, un sanitāro mezglu būvniecības, pārbūves, atjaunošanas un aprīkošanas izmaksas, ja tiek īstenoti šo noteikumu 18.2.1. apakšpunktā minētie darbi;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speciālās izglītības iestādes internāta ēkas būvniecības, pārbūves vai atjaunošanas izmaksas un tā darbības (dzīvojamo un mācību telpu, virtuves, sanitāro mezglu, dušas telpu) nodrošināšanai nepieciešamā aprīkojuma iegādes izmaksas, tai skaitā mēbeļu iegādes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nav nepieciešams 18.5. apakšpunktu papildināt un izteikt to līdzīgi, kā 18.2.</w:t>
            </w:r>
            <w:r w:rsidR="00000000" w:rsidRPr="00000000" w:rsidDel="00000000">
              <w:rPr>
                <w:vertAlign w:val="superscript"/>
                <w:rtl w:val="0"/>
              </w:rPr>
              <w:t xml:space="preserve">1 </w:t>
            </w:r>
            <w:r w:rsidR="00000000" w:rsidRPr="00000000" w:rsidDel="00000000">
              <w:rPr>
                <w:rtl w:val="0"/>
              </w:rPr>
              <w:t xml:space="preserve">apakšpunktā, iekļaujot informāciju arī par pilna apjoma piebūvi internāta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esošā MK noteikumu Nr. 656 redakcija speciālās izglītības iestādes internāta ēkas pārbūves un atjaunošanas darbus neierobežo pa konstruktīvo elementu vai telpu veidiem (kā tas, piemēram, noteikts speciālās izglītības iestādes ēkām), līdz ar to Izglītības un zinātnes ministrijas ieskatā grozījumi MK noteikumu Nr. 656 18.5. apakšpunktā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 speciālās izglītības iestādes internāta ēkas būvniecības, pārbūves vai atjaunošanas izmaksas un tā darbības (dzīvojamo un mācību telpu, virtuves, sanitāro mezglu, dušas telpu) nodrošināšanai nepieciešamā aprīkojuma iegādes izmaksas, tai skaitā mēbeļu iegādes izmaksas;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24-TA-2262</w:t>
    </w:r>
    <w:r>
      <w:br/>
    </w:r>
    <w:r w:rsidR="00000000" w:rsidRPr="00000000" w:rsidDel="00000000">
      <w:rPr>
        <w:rtl w:val="0"/>
      </w:rPr>
      <w:t xml:space="preserve">26.11.2024. 15.29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24-TA-2262</w:t>
    </w:r>
    <w:r>
      <w:br/>
    </w:r>
    <w:r w:rsidR="00000000" w:rsidRPr="00000000" w:rsidDel="00000000">
      <w:rPr>
        <w:rtl w:val="0"/>
      </w:rPr>
      <w:t xml:space="preserve">26.11.2024. 15.29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Izziņa_24-TA-2262.docx</dc:title>
</cp:coreProperties>
</file>

<file path=docProps/custom.xml><?xml version="1.0" encoding="utf-8"?>
<Properties xmlns="http://schemas.openxmlformats.org/officeDocument/2006/custom-properties" xmlns:vt="http://schemas.openxmlformats.org/officeDocument/2006/docPropsVTypes"/>
</file>