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dalību Eiropas Savienības aģentūrās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un zinātnes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(KM) iebilst pret Eiropas Izglītības un kultūras izpildaģentūras (EACEA) svītrošanas no Ministru kabineta rīkojuma Nr. 397 “Par Latvijas Republikas dalību Eiropas Savienības aģentūrās”, jo EACEA veic sadarbības uzdevumus ES politikas ietvaros. KM uztur viedokli, ka būtu svarīgi, neskatoties pat uz to, ka tās dibināšanas pamatā nav konkrēta regula, atstāt EACEA minētajā rīkojumā, jo Latvija ir pārstāvēta EACEA vadības komitejā (Steering Commitee) un ņemot vērā Latvijas finanšu saistības gan ar EACEA, gan tās ietvaros īstenotajiem projektiem nepieciešamajiem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Eiropas Izglītības un kultūras izpildaģentūrā.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papildināts ar Eiropas Savienības Izglītības un kultūras izpildaģentūru.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Izglītības un zinātnes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Eiropas Izglītības un kultūras izpildaģentūrā (saskaņā ar Padomes 2002. gada 19. decembra Regulu (EK) Nr. 58/2003, ar ko nosaka statūtus izpildaģentūrām, kurām uztic konkrētus Kopienas programmu pārvaldības uzdevumus). Kultūras ministrija ir iesaistītā ministrija jautājumos, kas saistīti ar Eiropas Savienības Izglītības un kultūras izpildaģentūru;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anotācijā skaidrot, kā tiks nodrošināta Latvijas dalība Eiropas Izglītības un kultūras izpildaģentūrā, ņemot vērā, ka pirmšķietami no attiecīgās regulas neizriet dalībvalstu pārstāvju noteikšanas pienākums minētajā aģentūrā un tās struktūrvienībās (institūcijās). Kā arī lūdzam skaidrot, kas noteikumu projektā ir domāts ar iesaistīto ministriju, proti, kādi uzdevumi izriet no minētā statusa. Ja atbilstošu skaidrojumu nav iespējams sniegt, lūdzam svītrot vai precizēt rīkojuma projekta 1.6.3. apakšpunktu u.c. rīkojuma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Anotācijā skaidrots iesaistīto ministriju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rīkojuma projekta anotācijas 5.4. sadaļas 1. tabulu ar konkrēto Eiropas Savienības tiesību aktu vienībām, kuras ar rīkojuma projektu tiek ieviestas vai pārņemtas (norādot arī konkrētas rīkojuma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5.4. 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atbilstoši Eiropas Savienības tiesību aktiem nodrošinātu Latvijas Republikas dalību Eiropas Savienības aģentūrās, kuras izveidotas, pamatojoties uz Eiropas Savienības sekundāriem tiesību aktiem specifisku tehnisku, zināt­nisku vai pārvaldīšanas uzdevumu veikšanai Eiropas Kopienu un Eiropas Savie­nības politiku ietva­ros, noteikt šādas atbildīgās un iesaistītās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līdzās Eiropas Savienībai pastāv vienīgi Eiropas Atomenerģijas kopiena, tādēļ aicinām noteikumu projekta 1. punktā aizstāt norādi uz Eiropas Kopienām ar norādi uz minēto kopienu.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Eiropas Kopienām aizstāta ar norādi uz Eiropas Atomenerģijas kopienu.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atbilstoši Eiropas Savienības tiesību aktiem nodrošinātu Latvijas Republikas dalību Eiropas Savienības aģentūrās, kuras izveidotas, pamatojoties uz Eiropas Savienības sekundāriem tiesību aktiem specifisku tehnisku, zināt­nisku, pārvaldīšanas vai tiesu iestāžu sadarbības uzdevumu veikšanai Eiropas Atomenerģijas kopienas un Eiropas Savie­nības politiku ietva­ros, noteikt šādas atbildīgās un iesaistītās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atbilstoši Eiropas Savienības tiesību aktiem nodrošinātu Latvijas Republikas dalību Eiropas Savienības aģentūrās, kuras izveidotas, pamatojoties uz Eiropas Savienības sekundāriem tiesību aktiem specifisku tehnisku, zināt­nisku vai pārvaldīšanas uzdevumu veikšanai Eiropas Kopienu un Eiropas Savie­nības politiku ietva­ros, noteikt šādas atbildīgās un iesaistītās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papildināt ar tiesu iestāžu sadarbības tvērumu EK un ES politiku ietvaros, jo prokuratūra kā tiesu varas iestāde nav pieskaitāma iestādēm, kas strādā ar specifisku tehnisku, zinātnisku vai pārvaldīšanas uzdevumu sfēru.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tiesu iestāžu sadarbības tvērumu.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atbilstoši Eiropas Savienības tiesību aktiem nodrošinātu Latvijas Republikas dalību Eiropas Savienības aģentūrās, kuras izveidotas, pamatojoties uz Eiropas Savienības sekundāriem tiesību aktiem specifisku tehnisku, zināt­nisku, pārvaldīšanas vai tiesu iestāžu sadarbības uzdevumu veikšanai Eiropas Atomenerģijas kopienas un Eiropas Savie­nības politiku ietva­ros, noteikt šādas atbildīgās un iesaistītās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Eiropas Tīklu un informācijas drošības aģentūrā (saskaņā ar Eiropas Parlamenta un Padomes 2019. gada 17. aprīļa Regulu (ES) 2019/881 par ENISA (Eiropas Savienības Kiberdrošības aģentūra) un par informācijas un komunikācijas tehnoloģiju kiberdrošības sertifikāciju, un ar ko atceļ Regulu (ES) Nr. 526/2013 (Kiberdrošības 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1.1.4. apakšpunktu, korekti atspoguļojot attiecīgās aģentūras (Eiropas Savienības Kiberdrošības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Eiropas Savienības Kiberdrošības aģentūrā (saskaņā ar Eiropas Parlamenta un Padomes 2019. gada 17. aprīļa Regulu (ES) 2019/881 par ENISA (Eiropas Savienības Kiberdrošības aģentūra) un par informācijas un komunikācijas tehnoloģiju kiberdrošības sertifikāciju, un ar ko atceļ Regulu (ES) Nr. 526/2013 (Kiberdrošības akts);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Eiropas Kiberdrošības kompetenču centrā (saskaņā ar Eiropas Parlamenta un Padomes 2021. gada 20. maija Regulu (ES) 2021/887, ar ko izveido Eiropas Industriālo, tehnoloģisko un pētniecisko kiberdrošības kompetenču centru un Nacionālo koordinācijas centru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1.1.5. apakšpunktā korekti atspoguļot attiecīgās aģentūras (Eiropas Industriālo, tehnoloģisko un pētniecisko kiberdrošības kompetenču centrs)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Eiropas Industriālo, tehnoloģisko un pētniecisko kiberdrošības kompetenču centrā (saskaņā ar Eiropas Parlamenta un Padomes 2021. gada 20. maija Regulu (ES) 2021/887, ar ko izveido Eiropas Industriālo, tehnoloģisko un pētniecisko kiberdrošības kompetenču centru un Nacionālo koordinācijas centru tīklu);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Latvijas Republikas prokuratūra: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papildināt ar atsauci uz Regulu (ES) 2018/1727 par Eiropas Savienības Aģentūru tiesu iestāžu sadarbībai krimināllietās (Eurojust), kā arī minēt pašu Eirojustu kā aģentūru atsevišķā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apakšapakšpunktu, ietverot Eiropas Savienības Aģentūru tiesu iestāžu sadarbībai krimināllietās (Eurojust).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Latvijas Republikas prokuratūra: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Eiropas Aviācijas drošības aģentūrā (saskaņā ar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1.9.1. apakšpunktā korekti atspoguļot attiecīgās aģentūras (Eiropas Savienības Aviācijas drošības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Eiropas Savienības Aviācijas drošības aģentūrā (saskaņā ar Eiropas Parlamenta un Padomes 2018. gada 4. jūlija Regulu (ES) 2018/1139 par kopīgiem noteikumiem civilās aviācijas jomā un ar ko izveido Eiropas Savienības Aviācijas drošības aģentūru, un ar ko groza Eiropas Parlamenta un Padomes Regulas (EK) Nr. 2111/2005, (EK) Nr. 1008/2008, (ES) Nr. 996/2010, (ES) Nr. 376/2014 un Direktīvas 2014/30/ES un 2014/53/ES un atceļ Eiropas Parlamenta un Padomes Regulas (EK) Nr. 552/2004 un (EK) Nr. 216/2008 un Padomes Regulu (EEK) Nr. 3922/91);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Eiropas Dzelzceļu aģentūrā (saskaņā ar Eiropas Parlamenta un Padomes 2016. gada 11. maija Regulu (ES) Nr. 2016/796 par Eiropas Savienības Dzelzceļu aģentūru un ar ko atceļ Regulu (EK) Nr. 881/2004);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1.9.2. apakšpunktā korekti atspoguļot attiecīgās aģentūras (Eiropas Savienības Dzelzceļu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Eiropas Savienības Dzelzceļu aģentūrā (saskaņā ar Eiropas Parlamenta un Padomes 2016. gada 11. maija Regulu (ES) Nr. 2016/796 par Eiropas Savienības Dzelzceļu aģentūru un ar ko atceļ Regulu (EK) Nr. 881/2004);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Eiropas Elektronisko sakaru regulatoru iestādē (saskaņā ar Eiropas Parlamenta un Padomes 2018. gada 11. decembra Regulu (ES) 2018/1971, ar ko izveido Eiropas Elektronisko sakaru regulatoru iestādi (BEREC) un BEREC atbalsta aģentūru (BEREC birojs), groza Regulu (ES) 2015/2120 un atceļ Regulu (EK) Nr. 1211/2009);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1.9.3. apakšpunktu ar informāciju, ka Sabiedrisko pakalpojumu regulēšanas komisija pārstāv Latviju BEREC biroja 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ir saistošs vienīgi Ministru kabinetam un tā padotības iestādēm, tad rīkojuma projektā nav iekļauta norāde, ka Latviju BEREC biroja valdē pārstāv Sabiedrisko pakalpojumu regulēšanas komisija.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Eiropas Elektronisko sakaru regulatoru iestādē (saskaņā ar Eiropas Parlamenta un Padomes 2018. gada 11. decembra Regulu (ES) 2018/1971, ar ko izveido Eiropas Elektronisko sakaru regulatoru iestādi (BEREC) un BEREC atbalsta aģentūru (BEREC birojs), groza Regulu (ES) 2015/2120 un atceļ Regulu (EK) Nr. 1211/2009);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Vides aizsardzības un reģionālās attīstības ministrija (Valsts vides dienesta Radiācijas drošības centrs) – Eiropas Atomenerģijas kopienas Sagādes aģentūrā (saskaņā ar Padomes 2008. gada 12. februāra Lēmumu 2008/114/EK, Euratom, ar ko nosaka Euratom Apgādes aģentūras statūtus);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1.12.3. apakšpunktā korekti atspoguļot attiecīgās aģentūras (Eiropas Atomenerģijas kopienas Apgādes aģentūra)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aģentūras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1.12.3. Vides aizsardzības un reģionālās attīstības ministrija (Valsts vides dienesta Radiācijas drošības centrs) – Eiropas Atomenerģijas kopienas Apgādes aģentūrā (saskaņā ar Padomes 2008. gada 12. februāra Lēmumu 2008/114/EK, Euratom, ar ko nosaka Euratom Apgādes aģentūras statūtus);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Kopienas Augu šķirņu birojā (saskaņā ar Padomes 1994. gada 27. jūlija Regulu (EK) Nr. 2100/94 par Kopienas augu šķirņu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punktu, norādot atbildīgo iestādi: Valsts augu aizsardzības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Kopienas Augu šķirņu birojā – Valsts augu aizsardzības dienests (saskaņā ar Padomes 1994. gada 27. jūlija Regulu (EK) Nr. 2100/94 par Kopienas augu šķirņu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esošā redakcija, kurā Zemkopības ministrija tiek norādīta kā atbildīgā iestāde par konkrēto aģentūru, ir atbilstoša.  Attiecīgi, Zemkopības ministrijai būs pienākums nodrošināt, ka tās padotības iestāde izpilda rīkojumā noteikto (t. sk., rīkojuma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konkrētais priekšlikums iesniegts rīkojuma projekta saskaņošanas novēlotā stadijā un rīkojuma projekta tālākas saskaņošanas pagarināšana nebūtu samērīga.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netiks papildināts ar konkrēto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1.13.1. Kopienas Augu šķirņu birojā (saskaņā ar Padomes 1994. gada 27. jūlija Regulu (EK) Nr. 2100/94 par Kopienas augu šķirņu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Eiropas Pārtikas nekaitīguma iestādē (saskaņā ar Eiropas Parlamenta un Padomes 2002. gada 28. janvāra Regulu (EK) Nr. 178/2002, ar ko paredz pārtikas aprites tiesību aktu vispārīgus principus un prasības, izveido Eiropas Pārtikas nekaitīguma iestādi un paredz procedūras saistībā ar pārtikas nekaitīgumu);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punktu, norādot atbildīgo iestādi:  Pārtikas drošības, dzīvnieku veselības un vides zinātniskais institūtu “BIOR” un Valsts augu aizsardzības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Pārtikas nekaitīguma iestādē – Pārtikas drošības, dzīvnieku veselības un vides zinātniskais institūts “BIOR” un Valsts augu aizsardzības dienests (saskaņā ar Eiropas Parlamenta un Padomes 2002. gada 28. janvāra Regulu (EK) Nr. 178/2002, ar ko paredz pārtikas aprites tiesību aktu vispārīgus principus un prasības, izveido Eiropas Pārtikas nekaitīguma iestādi un paredz procedūras saistībā ar pārtikas nekaitīgumu);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esošā redakcija, kurā Zemkopības ministrija tiek norādīta kā atbildīgā iestāde par konkrēto aģentūru, ir atbilstoša.  Attiecīgi, Zemkopības ministrijai būs pienākums nodrošināt, ka tās padotības iestāde izpilda rīkojumā noteikto (t. sk., rīkojuma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konkrētais priekšlikums iesniegts rīkojuma projekta saskaņošanas novēlotā stadijā un rīkojuma projekta tālākas saskaņošanas pagarināšana nebūtu samērīga.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netiks papildināts ar konkrēto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1.13.2. Eiropas Pārtikas nekaitīguma iestādē (saskaņā ar Eiropas Parlamenta un Padomes 2002. gada 28. janvāra Regulu (EK) Nr. 178/2002, ar ko paredz pārtikas aprites tiesību aktu vispārīgus principus un prasības, izveido Eiropas Pārtikas nekaitīguma iestādi un paredz procedūras saistībā ar pārtikas nekaitīgumu);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1.13.3. Eiropas Zāļu aģentūrā veterināro zāļu jomā (saskaņā ar Eiropas Parlamenta un Padomes 2004. gada 31. marta Regulu (EK) Nr. 726/2004, ar ko nosaka cilvēkiem paredzēto un veterināro zāļu reģistrēšanas un uzraudzības Kopienas procedūras un izveido Eiropas Zāļu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- 02.05.2024.)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punktu, norādot atbildīgo iestādi: Pārtikas un veterināro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Zāļu aģentūrā veterināro zāļu jomā – Pārtikas un veterinārais dienests – (saskaņā ar Eiropas Parlamenta un Padomes 2004. gada 31. marta Regulu (EK) Nr. 726/2004, ar ko nosaka cilvēkiem paredzēto un veterināro zāļu reģistrēšanas un uzraudzības Kopienas procedūras un izveido Eiropas Zāļu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esošā redakcija, kurā Zemkopības ministrija tiek norādīta kā atbildīgā iestāde par konkrēto aģentūru, ir atbilstoša.  Attiecīgi, Zemkopības ministrijai būs pienākums nodrošināt, ka tās padotības iestāde izpilda rīkojumā noteikto (t. sk., rīkojuma 2. un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konkrētais priekšlikums iesniegts rīkojuma projekta saskaņošanas novēlotā stadijā un rīkojuma projekta tālākas saskaņošanas pagarināšana nebūtu samērīga.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netiks papildināts ar konkrēto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1.13.3. Eiropas Zāļu aģentūrā veterināro zāļu jomā (saskaņā ar Eiropas Parlamenta un Padomes 2004. gada 31. marta Regulu (EK) Nr. 726/2004, ar ko nosaka cilvēkiem paredzēto un veterināro zāļu reģistrēšanas un uzraudzības Kopienas procedūras un izveido Eiropas Zāļu aģentūru);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gadījumus, kad Ārlietu ministrija jau ir informēta par Latvijas pārstāvjiem Eiropas Savienības aģentūrās, ņemot vērā, ka apstiprināšana notiek ar Padomes lēmumu, kas visi tiek izskatīti COREPER. Informācijas aprite starp nozares ministrijām un Ārlietu ministriju notiek ESVIS, tāpēc, lai neradītu papildu administratīvo slogu, lūdzam atspoguļot šo situāciju rīkojuma 2.punktā vai anotācijā, neradot paralēlus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1. punktā minētajām atbildīgajām iestādēm divu nedēļu laikā pēc pārstāvju pilnvarošanas dalībai Eiropas Savienības aģentūrās par to informēt Ārlietu ministriju, </w:t>
            </w:r>
            <w:r w:rsidR="00000000" w:rsidRPr="00000000" w:rsidDel="00000000">
              <w:rPr>
                <w:b w:val="1"/>
                <w:rtl w:val="0"/>
              </w:rPr>
              <w:t xml:space="preserve">izņemot gadījumus, kad Latvijas pārstāvju apstiprināšana tiek veikta ar Padomes lēmumu, par kuru atbildīgā iestāde jau ir sniegusi viedokli valsts informācijas sistēmā darbam ar Eiropas Savienības dokumentiem (ESVIS)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noteikts, ka atbildīgajām iestādēm ir pienākums informēt Ārlietu ministriju, lai nodrošinātu savlaicīgas un precīzas informācijas saņemšanu par Latvijas pārstāvjiem Eiropas Savienības aģentūrās. Teksta redakcija nav precizēta, jo plānotā kārtība nodrošinās vienveidīgu, efektīvu un nepārprotamu informācijas apriti starp iestādēm un Ārlietu ministriju kā koordinējošo iestādi ES aģentūru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pēc pārstāvju pilnvarošanas dalībai Eiropas Savienības aģentūrās divu nedēļu laikā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redakcionāli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pēc pārstāvju pilnvarošanas dalībai Eiropas Savienības aģentūrās divu nedēļu laikā par to informēt Ārlietu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aģentūrās tiek izskatīti jautājumi, kas attiecas uz citu ministru kompetenci, dienesta ziņojumi par tiem būtu ievietojami ESVIS sistēmā. Līdz ar to, lūdzam rīkojuma projektu papildināt ar jaunu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Ziņojumu pēc šo iestāžu sanāksmju apmeklējuma atbildīgā ministrija ievieto valsts informācijas sistēmā darbam ar Eiropas Savienības dokumentiem (sistēma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 ar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rīkojuma 1. punktā minētajām atbildīgajām iestādēm divu nedēļu laikā pēc pārstāvju pilnvarošanas dalībai Eiropas Savienības aģentūrās par to informēt Ārlietu ministriju.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rīkojuma projekta 3. punktam tvērumu, proti, kādi tieši dienesta ziņojumi tiks ievietoti ESVIS, piemēram, nosakot nepieciešamību ievietot ESVIS tikai tos dienesta ziņojumus, kuri attiecas uz aģentūru pārvaldības jautājumiem (Valdes sēdes, sanāksmes ar izpildvadītājiem vai līdzīgi formāti). Minētais ir nepieciešams, lai samazinātu slodzi uz ESVIS un neievietot tādus dienesta ziņojumus, kuri ir svarīgi tikai vienas iestādes (resora) līmenī, piemēram, par operacionālo pasākumu realizāciju, riska analīzi, šauras jomas ekspertu sanāksmēm, apmācībām un citi ikdienas formāti. Piemēram, VRS tikai sadarbībā ar Eiropas Robežu un krasta apsardzi (FRONTEX) kalendāra gada ietvarā nodrošina dalību ap 400 pasākumos.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darbības pārvaldības sēžu vai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Caurskatāmai informācijas apritei ESVIS sistēmā nepieciešams ievietot visus dienesta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netiks papildināts ar konkrēto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rīkojuma projekta 3. punktam tvērumu, proti, kādi tieši dienesta ziņojumi tiks ievietoti ESVIS, piemēram, nosakot nepieciešamību ievietot ESVIS tikai tos dienesta ziņojumus, kuri attiecas uz aģentūru pārvaldības jautājumiem (Valdes sēdes, sanāksmes ar izpildvadītājiem vai līdzīgi formāti). Minētais ir nepieciešams, lai samazinātu slodzi uz ESVIS un neievietot tādus dienesta ziņojumus, kuri ir svarīgi tikai vienas iestādes (resora) līmenī, piemēram, par operacionālo pasākumu realizāciju, riska analīzi, šauras jomas ekspertu sanāksmēm, apmācībām un citi ikdienas formāti. Piemēram, VRS tikai sadarbībā ar Eiropas Robežu un krasta apsardzi (FRONTEX) kalendāra gada ietvarā nodrošina dalību ap 400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darbības pārvaldības sēžu vai sanāksmju apmeklējuma atbildīgā iestāde ievieto valsts informācijas sistēmā darbam ar Eiropas Savienības dokumentiem (ESVIS).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Caurskatāmai informācijas apritei ESVIS sistēmā nepieciešams ievietot visus dienesta ziņojumus.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netiks papildināts ar konkrēto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Dienesta ziņojumu pēc šajā rīkojumā minēto aģentūru sanāksmju apmeklējuma atbildīgā iestāde ievieto valsts informācijas sistēmā darbam ar Eiropas Savienības dokumentiem (ESVIS).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24-TA-389</w:t>
    </w:r>
    <w:r>
      <w:br/>
    </w:r>
    <w:r w:rsidR="00000000" w:rsidRPr="00000000" w:rsidDel="00000000">
      <w:rPr>
        <w:rtl w:val="0"/>
      </w:rPr>
      <w:t xml:space="preserve">11.05.2024. 13.49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24-TA-389</w:t>
    </w:r>
    <w:r>
      <w:br/>
    </w:r>
    <w:r w:rsidR="00000000" w:rsidRPr="00000000" w:rsidDel="00000000">
      <w:rPr>
        <w:rtl w:val="0"/>
      </w:rPr>
      <w:t xml:space="preserve">11.05.2024. 13.49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Izziņa_24-TA-389.docx</dc:title>
</cp:coreProperties>
</file>

<file path=docProps/custom.xml><?xml version="1.0" encoding="utf-8"?>
<Properties xmlns="http://schemas.openxmlformats.org/officeDocument/2006/custom-properties" xmlns:vt="http://schemas.openxmlformats.org/officeDocument/2006/docPropsVTypes"/>
</file>