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26-TA-652: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2023. gada 15. augusta noteikumos Nr. 460 "Eiropas Savienības kohēzijas politikas programmas 2021.–2027. gadam 4.1.2. specifiskā atbalsta mērķa "Uzlabot vienlīdzīgu un savlaicīgu piekļuvi kvalitatīviem, ilgtspējīgiem un izmaksu ziņā pieejamiem veselības aprūpes, veselības veicināšanas un slimību profilakses pakalpojumiem, uzlabojot veselības aprūpes sistēmu efektivitāti un izturētspēju" 4.1.2.5. pasākuma "Piesaistīt un noturēt ārstniecības personas darbam valsts apmaksāto veselības aprūpes pakalpojumu sektorā, īpaši stacionāros" īstenošanas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(03.02.2026.)</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23.04.2026. 11:29</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2021.–2027. gadam 4.1.2. specifiskā atbalsta mērķa "Uzlabot vienlīdzīgu un savlaicīgu piekļuvi kvalitatīviem, ilgtspējīgiem un izmaksu ziņā pieejamiem veselības aprūpes, veselības veicināšanas un slimību profilakses pakalpojumiem, uzlabojot veselības aprūpes sistēmu efektivitāti un izturētspēju" 4.1.2.5. pasākuma "Piesaistīt un noturēt ārstniecības personas darbam valsts apmaksāto veselības aprūpes pakalpojumu sektorā, īpaši stacionāros"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(LBAS - 29.04.2026.)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Brīvo arodbiedrību savienība (LBAS) tāpat kā Latvijas Veselības un sociālās aprūpes darbinieku arodbiedrības (LVSADA) birojs kategoriski iebilst projekta tālākai virzībai un uztur spēkā iebildumu. Uzskatām Veselības ministrijas (VM) skaidrojumu (izziņas 1., 3. un 4. punkts) par nepietiekamu un valsts stratēģiskajām interesēm neatbilstošu.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LVSADA iebildumi (atkārtoti)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Identiski kompensācijas nosacījumi publiskajam sektoram un privātajam sektoram stimulē speciālistu aizplūšanu uz zemākas intensitātes un atbildības darbu privātajās ambulatorajās iestādēs. Tas tieši vājina valsts sistēmas "mugurkaulu", kas galvenokārt saistīta ar  neatliekamo un stacionāro palīdzību.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ES fondu līdzekļu izmantošana privātā sektora rentabilitātes celšanai, kamēr valsts iestādēs trūkst personāla un kvotu, ir uzskatāma par publiskā sektora stratēģiskās kapacitātes graušanu.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Noteikumu projekts esošajā redakcijā nepilda pasākuma 4.1.2.5. mērķi, kas prioritāri vērsts, lai stiprinātu tieši valsts sektoru. (4.1.2.5. pasākuma "Piesaistīt un noturēt ārstniecības personas darbam valsts apmaksāto veselības aprūpes pakalpojumu sektorā, īpaši stacionāros").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Noteikumu projektā paredzētais atbalsta mehānisms nodrošina atbalstu tikai pilnas slodzes valsts apmaksāto stacionāro veselības aprūpes pakalpojumu sektoram. Atbilstoši noteikumu mērķim atbalsts ir vērsts uz ārstniecības personu piesaisti tieši valsts apmaksāto pakalpojumu nodrošināšanai, tikai stacionāros, papildus ģimenes ārstu praksēm un bērnu zobārstniecībai, kur personāla pieejamība ir kritiski svarīga pakalpojumu nepārtrauktībai. Vienlaikus jāuzsver, ka atbalsts netiek piešķirts visām ārstniecības iestādēm, bet tikai tām, kurām ir noslēgts līgums ar Nacionālo veselības dienestu par valsts apmaksāto pakalpojumu sniegšanu un kurās  konstatēta ārstniecības personu vakance. Līdz ar to izšķirošais kritērijs nav iestādes juridiskais statuss, bet gan tās iesaiste stacionāro valsts apmaksāto pakalpojumu nodrošināšanā. Šāda pieeja nodrošina, ka publiskais finansējums tiek izmantots mērķtiecīgi — stiprinot tieši to veselības aprūpes sistēmas daļu, kur personāla trūkums visvairāk ietekmē pakalpojumu pieejamību un kvalitāti. Papildus tas ļauj efektīvāk izmantot esošo cilvēkresursu potenciālu visā veselības aprūpes sistēmā, vienlaikus saglabājot galveno prioritāti — nodrošināt iedzīvotājiem pieejamus, nepārtrauktus un kvalitatīvus valsts apmaksātos veselības aprūpes pakalpojumus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2021.–2027. gadam 4.1.2. specifiskā atbalsta mērķa "Uzlabot vienlīdzīgu un savlaicīgu piekļuvi kvalitatīviem, ilgtspējīgiem un izmaksu ziņā pieejamiem veselības aprūpes, veselības veicināšanas un slimību profilakses pakalpojumiem, uzlabojot veselības aprūpes sistēmu efektivitāti un izturētspēju" 4.1.2.5. pasākuma "Piesaistīt un noturēt ārstniecības personas darbam valsts apmaksāto veselības aprūpes pakalpojumu sektorā, īpaši stacionāros" īstenošanas noteikumi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2023. gada 15. augusta noteikumos Nr. 460 "Eiropas Savienības kohēzijas politikas programmas 2021.–2027. gadam 4.1.2. specifiskā atbalsta mērķa "Uzlabot vienlīdzīgu un savlaicīgu piekļuvi kvalitatīviem, ilgtspējīgiem un izmaksu ziņā pieejamiem veselības aprūpes, veselības veicināšanas un slimību profilakses pakalpojumiem, uzlabojot veselības aprūpes sistēmu efektivitāti un izturētspēju" 4.1.2.5. pasākuma "Piesaistīt un noturēt ārstniecības personas darbam valsts apmaksāto veselības aprūpes pakalpojumu sektorā, īpaši stacionāros"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(LTRK - 08.05.2026.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Tirdzniecības un rūpniecības kamera (turpmāk – LTRK) ir iepazinusies ar Veselības ministrijas saskaņošanā nodotajiem grozījumiem Ministru kabineta 2023. gada 15. augusta noteikumos Nr. 460 "Eiropas Savienības kohēzijas politikas programmas 2021.–2027. gadam 4.1.2. specifiskā atbalsta mērķa "Uzlabot vienlīdzīgu un savlaicīgu piekļuvi kvalitatīviem, ilgtspējīgiem un izmaksu ziņā pieejamiem veselības aprūpes, veselības veicināšanas un slimību profilakses pakalpojumiem, uzlabojot veselības aprūpes sistēmu efektivitāti un izturētspēju" 4.1.2.5. pasākuma "Piesaistīt un noturēt ārstniecības personas darbam valsts apmaksāto veselības aprūpes pakalpojumu sektorā, īpaši stacionāros" īstenošanas noteikumi", 26-TA-652 (turpmāk – Noteikumi) un sniedz sekojošu pozīciju.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LTRK aicina izvērtēt un papildināt atbalstāmo profesiju sarakstu, iekļaujot sarakstā sertificētus uztura speciālistus. Ņemot vērā šo speciālistu nozīmi pacientu aprūpē, tostarp pieprasījumu valsts apmaksāto pakalpojumu ietvaros, uzskatām, ka šāds papildinājums stiprinātu kopējo veselības aprūpes pakalpojumu pieejamību.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LTRK vērš uzmanību uz nepietiekamu ārstniecības personu nodrošinājumu, īpaši attiecībā uz ārstiem un citiem veselības aprūpes speciālistiem, īpaši lauku reģionos. Kritisks veselības aprūpes speciālistu trūkums ir būtiska un sistēmiska problēma reģionālajos sociālās aprūpes centros (turpmāk – SAC).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Publiskajā telpā paustā informācija liecina, ka būtiska daļa sūdzību par dzīves apstākļiem SAC ir saistīta ar veselības aprūpes pakalpojumu kvalitāti. Vienlaikus konstatējams, ka noteikto kvalitātes prasību izpilde ir tieši atkarīga no kvalificētu speciālistu pieejamības, kas daudzviet ir nepietiekama.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Praksē SAC saskaras ar ievērojamām grūtībām piesaistīt un noturēt ārstniecības personālu, kas būtiski ietekmē veselības aprūpes pakalpojumu pieejamību. Minētā situācija pastāv arī gadījumos, kad SAC ir reģistrēti kā ārstniecības iestādes un ir noslēguši līgumus ar Nacionālo veselības dienestu.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un aizvien pieaugošo pieprasījumu pēc kvalitatīviem ilgstošas sociālās aprūpes pakalpojumiem, kuros būtiska ir veselības aprūpe, aicinām stiprināt valsts un pašvaldības atbalsta mehānismus ārstniecības personāla piesaistei SAC, vienlaikus izvērtējot mērķētu atbalsta risinājumu ieviešanu, kas veicinātu ārstniecības personu pieejamību reģionos.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2023. gada 15. augusta noteikumos Nr. 460 "Eiropas Savienības kohēzijas politikas programmas 2021.–2027. gadam 4.1.2. specifiskā atbalsta mērķa "Uzlabot vienlīdzīgu un savlaicīgu piekļuvi kvalitatīviem, ilgtspējīgiem un izmaksu ziņā pieejamiem veselības aprūpes, veselības veicināšanas un slimību profilakses pakalpojumiem, uzlabojot veselības aprūpes sistēmu efektivitāti un izturētspēju" 4.1.2.5. pasākuma "Piesaistīt un noturēt ārstniecības personas darbam valsts apmaksāto veselības aprūpes pakalpojumu sektorā, īpaši stacionāros" īstenošanas noteikumi"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Uz šo noteikumu </w:t>
            </w:r>
            <w:r w:rsidR="00000000" w:rsidRPr="00000000" w:rsidDel="00000000">
              <w:rPr>
                <w:rtl w:val="0"/>
              </w:rPr>
              <w:t xml:space="preserve">17.</w:t>
            </w:r>
            <w:r w:rsidR="00000000" w:rsidRPr="00000000" w:rsidDel="00000000">
              <w:rPr>
                <w:rtl w:val="0"/>
              </w:rPr>
              <w:t xml:space="preserve"> punktā</w:t>
            </w:r>
            <w:r w:rsidR="00000000" w:rsidRPr="00000000" w:rsidDel="00000000">
              <w:rPr>
                <w:rtl w:val="0"/>
              </w:rPr>
              <w:t xml:space="preserve"> noteiktajām vienreizējām kompensācijām var pretendēt ārstniecības personas (turpmāk – kompensācijas pretendents vai kompensācijas saņēmējs) darbam prioritārajās jomās, tas ir, sirds un asinsvadu slimības, onkoloģija, psihiskā veselība, mātes un bērna veselības aprūpe, retās slimības, paliatīvā aprūpe, medicīniskā rehabilitācija, un ar šīm jomām saistītajās specialitātēs (turpmāk – atbalstāmās specialitātes), ja ir spēkā šādi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(LBAS - 29.04.2026.)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LVSADA priekšlikums, lai novērstu valsts veselības aprūpes sistēmas vājināšanu, papildināt likumprojekta noteikumu 21. punktā un tam pakārtotajās normās skaidri definēt kompensāciju piešķiršanas prioritāti šādā secībā: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Primārā prioritāte ir  ārstniecības personām, kuras uzsāk vai turpina darba tiesiskās attiecības valsts vai pašvaldību stacionārajās       ārstniecības iestādēs.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Sekundārā prioritāte ir  ārstniecības personām iestādēs, kurām ir noslēgts līgums ar Nacionālo veselības dienestu par valsts apmaksāto veselības aprūpes pakalpojumu sniegšanu, tikai tādā gadījumā, ja uz konkrēto finansējuma daļu (kvotu) nav pieteikusies neviena ārstniecības persona no publiskā sektora stacionārajām iestādēm.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Noteikumu projektā paredzētais atbalsta mehānisms nodrošina atbalstu tikai pilnas slodzes valsts apmaksāto stacionāro veselības aprūpes pakalpojumu sektoram. Atbilstoši noteikumu mērķim atbalsts ir vērsts uz ārstniecības personu piesaisti tieši valsts apmaksāto pakalpojumu nodrošināšanai, tikai stacionāros, papildus ģimenes ārstu praksēm un bērnu zobārstniecībai, kur personāla pieejamība ir kritiski svarīga pakalpojumu nepārtrauktībai. Vienlaikus jāuzsver, ka atbalsts netiek piešķirts visām ārstniecības iestādēm, bet tikai tām, kurām ir noslēgts līgums ar Nacionālo veselības dienestu par valsts apmaksāto pakalpojumu sniegšanu un kurās  konstatēta ārstniecības personu vakance. Līdz ar to izšķirošais kritērijs nav iestādes juridiskais statuss, bet gan tās iesaiste stacionāro valsts apmaksāto pakalpojumu nodrošināšanā. Šāda pieeja nodrošina, ka publiskais finansējums tiek izmantots mērķtiecīgi — stiprinot tieši to veselības aprūpes sistēmas daļu, kur personāla trūkums visvairāk ietekmē pakalpojumu pieejamību un kvalitāti. Papildus tas ļauj efektīvāk izmantot esošo cilvēkresursu potenciālu visā veselības aprūpes sistēmā, vienlaikus saglabājot galveno prioritāti — nodrošināt iedzīvotājiem pieejamus, nepārtrauktus un kvalitatīvus valsts apmaksātos veselības aprūpes pakalpojumus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Uz šo noteikumu </w:t>
            </w:r>
            <w:r w:rsidR="00000000" w:rsidRPr="00000000" w:rsidDel="00000000">
              <w:rPr>
                <w:rtl w:val="0"/>
              </w:rPr>
              <w:t xml:space="preserve">17.</w:t>
            </w:r>
            <w:r w:rsidR="00000000" w:rsidRPr="00000000" w:rsidDel="00000000">
              <w:rPr>
                <w:rtl w:val="0"/>
              </w:rPr>
              <w:t xml:space="preserve"> punktā</w:t>
            </w:r>
            <w:r w:rsidR="00000000" w:rsidRPr="00000000" w:rsidDel="00000000">
              <w:rPr>
                <w:rtl w:val="0"/>
              </w:rPr>
              <w:t xml:space="preserve"> noteiktajām vienreizējām kompensācijām var pretendēt ārstniecības personas (turpmāk – kompensācijas pretendents vai kompensācijas saņēmējs) darbam prioritārajās jomās, tas ir, sirds un asinsvadu slimības, onkoloģija, psihiskā veselība, mātes un bērna veselības aprūpe, retās slimības, paliatīvā aprūpe, medicīniskā rehabilitācija, un ar šīm jomām saistītajās specialitātēs (turpmāk – atbalstāmās specialitātes), ja ir spēkā šādi nosacījumi:</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10.04.2026. 10:13</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2021.–2027. gadam 4.1.2. specifiskā atbalsta mērķa "Uzlabot vienlīdzīgu un savlaicīgu piekļuvi kvalitatīviem, ilgtspējīgiem un izmaksu ziņā pieejamiem veselības aprūpes, veselības veicināšanas un slimību profilakses pakalpojumiem, uzlabojot veselības aprūpes sistēmu efektivitāti un izturētspēju" 4.1.2.5. pasākuma "Piesaistīt un noturēt ārstniecības personas darbam valsts apmaksāto veselības aprūpes pakalpojumu sektorā, īpaši stacionāros"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(LBAS - 17.04.2026.)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Brīvo arodbiedrību savienība tāpat kā Latvijas Veselības un sociālās aprūpes darbinieku arodbiedrība (LVSADA) iebilst pret tādu noteikumu projekta redakciju, kas pieļauj Eiropas Savienības kohēzijas politikas programmas 2021.–2027. gadam 4.1.2.5. pasākuma finansējuma izmantošanu ārstniecības personu piesaistei privātajā ambulatorajā sektorā uz būtībā vienādiem nosacījumiem ar valsts un pašvaldību stacionārajām ārstniecības iestādēm.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LVSADA ieskatā šāda pieeja neatbilst pašā pasākuma nosaukumā un mērķī ietvertajai prioritātei — piesaistīt un noturēt ārstniecības personas darbam valsts apmaksāto veselības aprūpes pakalpojumu sektorā, īpaši stacionāros. Ja atbalsta mehānisms bez pietiekamas diferenciācijas tiek attiecināts arī uz privātajām ārstniecības iestādēm, kuras darbojas komercdarbības apstākļos, pastāv risks vājināt publiskā sektora spēju piesaistīt personālu tajās jomās, kurās personāla trūkums visvairāk apdraud veselības aprūpes sistēmas nepārtrauktību un pieejamību.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LVSADA ieskatā ES fondu un valsts budžeta līdzekļi primāri novirzāmi tiem veselības aprūpes segmentiem, kuros tirgus mehānismi paši par sevi nenodrošina pietiekamu personāla piesaisti, proti, valsts un pašvaldību stacionārajām ārstniecības iestādēm, primārajai veselības aprūpei un atsevišķiem sabiedriski īpaši nozīmīgiem pakalpojumiem.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LVSADA iebilst pret noteikumu projekta redakciju, ciktāl tā pieļauj 4.1.2.5. pasākuma finansējuma izmantošanu ārstniecības personu piesaistei privātajās ārstniecības iestādēs uz nosacījumiem, kas nav pietiekami diferencēti no valsts un pašvaldību stacionāro ārstniecības iestāžu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 mērķis saskaņā ar noteikumu 6. punktu ir piesaistīt un noturēt ārstniecības personas darbam valsts apmaksāto veselības aprūpes pakalpojumu sektorā, īpaši stacionāros. Tādēļ atbalsta mehānismam jābūt veidotam tā, lai publiskais finansējums primāri stiprinātu publiskā sektora kapacitāti tajās jomās, kur personāla trūkums visvairāk ietekmē valsts apmaksāto pakalpojumu pieejamību un nepārtrauktību.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Noteikumu projektā paredzētais atbalsta mehānisms nodrošina atbalstu tikai pilnas slodzes valsts apmaksāto stacionāro veselības aprūpes pakalpojumu sektoram. Atbilstoši noteikumu mērķim atbalsts ir vērsts uz ārstniecības personu piesaisti tieši valsts apmaksāto pakalpojumu nodrošināšanai, tikai stacionāros, papildus ģimenes ārstu praksēm un bērnu zobārstniecībai, kur personāla pieejamība ir kritiski svarīga pakalpojumu nepārtrauktībai. Vienlaikus jāuzsver, ka atbalsts netiek piešķirts visām ārstniecības iestādēm, bet tikai tām, kurām ir noslēgts līgums ar Nacionālo veselības dienestu par valsts apmaksāto pakalpojumu sniegšanu un kurās  konstatēta ārstniecības personu vakance. Līdz ar to izšķirošais kritērijs nav iestādes juridiskais statuss, bet gan tās iesaiste stacionāro valsts apmaksāto pakalpojumu nodrošināšanā. Šāda pieeja nodrošina, ka publiskais finansējums tiek izmantots mērķtiecīgi — stiprinot tieši to veselības aprūpes sistēmas daļu, kur personāla trūkums visvairāk ietekmē pakalpojumu pieejamību un kvalitāti. Papildus tas ļauj efektīvāk izmantot esošo cilvēkresursu potenciālu visā veselības aprūpes sistēmā, vienlaikus saglabājot galveno prioritāti — nodrošināt iedzīvotājiem pieejamus, nepārtrauktus un kvalitatīvus valsts apmaksātos veselības aprūpes pakalpojumus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2021.–2027. gadam 4.1.2. specifiskā atbalsta mērķa "Uzlabot vienlīdzīgu un savlaicīgu piekļuvi kvalitatīviem, ilgtspējīgiem un izmaksu ziņā pieejamiem veselības aprūpes, veselības veicināšanas un slimību profilakses pakalpojumiem, uzlabojot veselības aprūpes sistēmu efektivitāti un izturētspēju" 4.1.2.5. pasākuma "Piesaistīt un noturēt ārstniecības personas darbam valsts apmaksāto veselības aprūpes pakalpojumu sektorā, īpaši stacionāros" īstenošanas noteikumi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- 17.04.2026.)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anotācijā ietverto pamatojumu par Nacionālā veselības dienesta un Veselības inspekcijas iesaisti projekta īstenošanā sadarbības partneru statusā, skaidri nodalot šo institūciju normatīvajos aktos noteiktās pamatfunkcijas no projekta ietvaros paredzētajām papildus veicamajām darbībām. Vienlaikus lūdzam sniegt detalizētu pamatojumu, kādēļ projekta ietvaros plānotās darbības nav uzskatāmas par šo institūciju ikdienas funkciju finansēšanu no Eiropas Savienības fondu līdzekļiem, kā arī papildināt anotāciju ar informāciju par plānoto darba apjomu, izmaksu aprēķina metodiku, darba laika un pienākumu nodalīšanu, dubultā finansējuma riska novēršanas mehānismiem un kontroles pasākumiem, lai pārliecinātos par izmaksu attiecināmību un atbilstību pareizas finanšu vadības principiem.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MK noteikumu projekta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r w:rsidR="00000000" w:rsidRPr="00000000" w:rsidDel="00000000">
              <w:rPr>
                <w:vertAlign w:val="superscript"/>
                <w:rtl w:val="0"/>
              </w:rPr>
              <w:t xml:space="preserve">1</w:t>
            </w:r>
            <w:r w:rsidR="00000000" w:rsidRPr="00000000" w:rsidDel="00000000">
              <w:rPr>
                <w:rtl w:val="0"/>
              </w:rPr>
              <w:t xml:space="preserve">1. šo noteikumu </w:t>
            </w:r>
            <w:r w:rsidR="00000000" w:rsidRPr="00000000" w:rsidDel="00000000">
              <w:rPr>
                <w:rtl w:val="0"/>
              </w:rPr>
              <w:t xml:space="preserve">21.1.</w:t>
            </w:r>
            <w:r w:rsidR="00000000" w:rsidRPr="00000000" w:rsidDel="00000000">
              <w:rPr>
                <w:vertAlign w:val="superscript"/>
                <w:rtl w:val="0"/>
              </w:rPr>
              <w:t xml:space="preserve">1</w:t>
            </w:r>
            <w:r w:rsidR="00000000" w:rsidRPr="00000000" w:rsidDel="00000000">
              <w:rPr>
                <w:rtl w:val="0"/>
              </w:rPr>
              <w:t xml:space="preserve">  apakšpunktā minētās atbalstāmās iestādes, kurām tiek piešķirts komercdarbības atbalsts saskaņā ar šo noteikumu VII nodaļu;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(LBAS - 17.04.2026.)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13.</w:t>
            </w:r>
            <w:r w:rsidR="00000000" w:rsidRPr="00000000" w:rsidDel="00000000">
              <w:rPr>
                <w:vertAlign w:val="superscript"/>
                <w:rtl w:val="0"/>
              </w:rPr>
              <w:t xml:space="preserve">1</w:t>
            </w:r>
            <w:r w:rsidR="00000000" w:rsidRPr="00000000" w:rsidDel="00000000">
              <w:rPr>
                <w:rtl w:val="0"/>
              </w:rPr>
              <w:t xml:space="preserve">1.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r w:rsidR="00000000" w:rsidRPr="00000000" w:rsidDel="00000000">
              <w:rPr>
                <w:vertAlign w:val="superscript"/>
                <w:rtl w:val="0"/>
              </w:rPr>
              <w:t xml:space="preserve">1</w:t>
            </w:r>
            <w:r w:rsidR="00000000" w:rsidRPr="00000000" w:rsidDel="00000000">
              <w:rPr>
                <w:rtl w:val="0"/>
              </w:rPr>
              <w:t xml:space="preserve">1. šo noteikumu 21.1.</w:t>
            </w:r>
            <w:r w:rsidR="00000000" w:rsidRPr="00000000" w:rsidDel="00000000">
              <w:rPr>
                <w:vertAlign w:val="superscript"/>
                <w:rtl w:val="0"/>
              </w:rPr>
              <w:t xml:space="preserve">1</w:t>
            </w:r>
            <w:r w:rsidR="00000000" w:rsidRPr="00000000" w:rsidDel="00000000">
              <w:rPr>
                <w:rtl w:val="0"/>
              </w:rPr>
              <w:t xml:space="preserve">. apakšpunktā minētās atbalstāmās iestādes, kas ir valsts vai pašvaldību ārstniecības iestādes, kuras nodrošina stacionāro veselības aprūpi, kā arī ārstniecības iestādes, kas nodrošina primāro veselības aprūpi (ģimenes ārstu prakses) un valsts apmaksātus zobārstniecības pakalpojumus bērniem.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Noteikumu projektā paredzētais atbalsta mehānisms nodrošina atbalstu tikai pilnas slodzes valsts apmaksāto stacionāro veselības aprūpes pakalpojumu sektoram. Atbilstoši noteikumu mērķim atbalsts ir vērsts uz ārstniecības personu piesaisti tieši valsts apmaksāto pakalpojumu nodrošināšanai, tikai stacionāros, papildus ģimenes ārstu praksēm un bērnu zobārstniecībai, kur personāla pieejamība ir kritiski svarīga pakalpojumu nepārtrauktībai. Vienlaikus jāuzsver, ka atbalsts netiek piešķirts visām ārstniecības iestādēm, bet tikai tām, kurām ir noslēgts līgums ar Nacionālo veselības dienestu par valsts apmaksāto pakalpojumu sniegšanu, un kurās  konstatēta ārstniecības personu vakance. Līdz ar to izšķirošais kritērijs nav iestādes juridiskais statuss, bet gan tās iesaiste stacionāro valsts apmaksāto pakalpojumu nodrošināšanā. Šāda pieeja nodrošina, ka publiskais finansējums tiek izmantots mērķtiecīgi — stiprinot tieši to veselības aprūpes sistēmas daļu, kur personāla trūkums visvairāk ietekmē pakalpojumu pieejamību un kvalitāti. Papildus tas ļauj efektīvāk izmantot esošo cilvēkresursu potenciālu visā veselības aprūpes sistēmā, vienlaikus saglabājot galveno prioritāti — nodrošināt iedzīvotājiem pieejamus, nepārtrauktus un kvalitatīvus valsts apmaksātos veselības aprūpes pakalpojumus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r w:rsidR="00000000" w:rsidRPr="00000000" w:rsidDel="00000000">
              <w:rPr>
                <w:vertAlign w:val="superscript"/>
                <w:rtl w:val="0"/>
              </w:rPr>
              <w:t xml:space="preserve">1</w:t>
            </w:r>
            <w:r w:rsidR="00000000" w:rsidRPr="00000000" w:rsidDel="00000000">
              <w:rPr>
                <w:rtl w:val="0"/>
              </w:rPr>
              <w:t xml:space="preserve">1. šo noteikumu </w:t>
            </w:r>
            <w:r w:rsidR="00000000" w:rsidRPr="00000000" w:rsidDel="00000000">
              <w:rPr>
                <w:rtl w:val="0"/>
              </w:rPr>
              <w:t xml:space="preserve">21.1.</w:t>
            </w:r>
            <w:r w:rsidR="00000000" w:rsidRPr="00000000" w:rsidDel="00000000">
              <w:rPr>
                <w:vertAlign w:val="superscript"/>
                <w:rtl w:val="0"/>
              </w:rPr>
              <w:t xml:space="preserve">1</w:t>
            </w:r>
            <w:r w:rsidR="00000000" w:rsidRPr="00000000" w:rsidDel="00000000">
              <w:rPr>
                <w:rtl w:val="0"/>
              </w:rPr>
              <w:t xml:space="preserve">  apakšpunktā minētās atbalstāmās iestādes, kurām tiek piešķirts komercdarbības atbalsts saskaņā ar šo noteikumu VII nodaļu;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Uz šo noteikumu </w:t>
            </w:r>
            <w:r w:rsidR="00000000" w:rsidRPr="00000000" w:rsidDel="00000000">
              <w:rPr>
                <w:rtl w:val="0"/>
              </w:rPr>
              <w:t xml:space="preserve">17.</w:t>
            </w:r>
            <w:r w:rsidR="00000000" w:rsidRPr="00000000" w:rsidDel="00000000">
              <w:rPr>
                <w:rtl w:val="0"/>
              </w:rPr>
              <w:t xml:space="preserve"> punktā</w:t>
            </w:r>
            <w:r w:rsidR="00000000" w:rsidRPr="00000000" w:rsidDel="00000000">
              <w:rPr>
                <w:rtl w:val="0"/>
              </w:rPr>
              <w:t xml:space="preserve"> noteiktajām vienreizējām kompensācijām var pretendēt ārstniecības personas (turpmāk – kompensācijas pretendents vai kompensācijas saņēmējs) darbam prioritārajās jomās, tas ir, sirds un asinsvadu slimības, onkoloģija, psihiskā veselība, mātes un bērna veselības aprūpe, retās slimības, paliatīvā aprūpe, medicīniskā rehabilitācija, un ar šīm jomām saistītajās specialitātēs (turpmāk – atbalstāmās specialitātes), ja ir spēkā šādi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(LBAS - 17.04.2026.)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21. punktu ar jaunu normu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“Vienreizējās kompensācijas prioritāri piešķir ārstniecības personām darbam valsts un pašvaldību stacionārajās ārstniecības iestādēs. Ārstniecības iestādes, kas nav valsts vai pašvaldību ārstniecības iestādes, uz atbalstu var pretendēt tikai tad, ja attiecīgajā teritorijā nav valsts vai pašvaldības ārstniecības iestādes, kas nodrošina konkrēto valsts apmaksāto veselības aprūpes pakalpojumu. Minētais ierobežojums nav attiecināms uz ģimenes ārstu praksēm un valsts apmaksātiem zobārstniecības pakalpojumiem bērniem.”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Šādi grozījumi nodrošinātu atbilstību pasākuma mērķim; publiskā finansējuma mērķtiecīgu izmantošanu; publiskā sektora, īpaši stacionāru, kapacitātes stiprināšanu; samērīgu pieeju komercdarbības atbalsta piešķiršanai un izņēmumu saglabāšanu jomās, kur tas ir objektīvi pamatots sabiedrības interesēs.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Noteikumu projektā paredzētais atbalsta mehānisms nodrošina atbalstu tikai pilnas slodzes valsts apmaksāto stacionāro veselības aprūpes pakalpojumu sektoram. Atbilstoši noteikumu mērķim atbalsts ir vērsts uz ārstniecības personu piesaisti tieši valsts apmaksāto pakalpojumu nodrošināšanai, tikai stacionāros, papildus ģimenes ārstu praksēm un bērnu zobārstniecībai, kur personāla pieejamība ir kritiski svarīga pakalpojumu nepārtrauktībai. Vienlaikus jāuzsver, ka atbalsts netiek piešķirts visām ārstniecības iestādēm, bet tikai tām, kurām ir noslēgts līgums ar Nacionālo veselības dienestu par valsts apmaksāto pakalpojumu sniegšanu un kurās  konstatēta ārstniecības personu vakance. Līdz ar to izšķirošais kritērijs nav iestādes juridiskais statuss, bet gan tās iesaiste stacionāro valsts apmaksāto pakalpojumu nodrošināšanā. Šāda pieeja nodrošina, ka publiskais finansējums tiek izmantots mērķtiecīgi — stiprinot tieši to veselības aprūpes sistēmas daļu, kur personāla trūkums visvairāk ietekmē pakalpojumu pieejamību un kvalitāti. Papildus tas ļauj efektīvāk izmantot esošo cilvēkresursu potenciālu visā veselības aprūpes sistēmā, vienlaikus saglabājot galveno prioritāti — nodrošināt iedzīvotājiem pieejamus, nepārtrauktus un kvalitatīvus valsts apmaksātos veselības aprūpes pakalpojumus.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Uz šo noteikumu </w:t>
            </w:r>
            <w:r w:rsidR="00000000" w:rsidRPr="00000000" w:rsidDel="00000000">
              <w:rPr>
                <w:rtl w:val="0"/>
              </w:rPr>
              <w:t xml:space="preserve">17.</w:t>
            </w:r>
            <w:r w:rsidR="00000000" w:rsidRPr="00000000" w:rsidDel="00000000">
              <w:rPr>
                <w:rtl w:val="0"/>
              </w:rPr>
              <w:t xml:space="preserve"> punktā</w:t>
            </w:r>
            <w:r w:rsidR="00000000" w:rsidRPr="00000000" w:rsidDel="00000000">
              <w:rPr>
                <w:rtl w:val="0"/>
              </w:rPr>
              <w:t xml:space="preserve"> noteiktajām vienreizējām kompensācijām var pretendēt ārstniecības personas (turpmāk – kompensācijas pretendents vai kompensācijas saņēmējs) darbam prioritārajās jomās, tas ir, sirds un asinsvadu slimības, onkoloģija, psihiskā veselība, mātes un bērna veselības aprūpe, retās slimības, paliatīvā aprūpe, medicīniskā rehabilitācija, un ar šīm jomām saistītajās specialitātēs (turpmāk – atbalstāmās specialitātes), ja ir spēkā šādi nosacījumi:</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26.03.2026. 22:18</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r w:rsidR="00000000" w:rsidRPr="00000000" w:rsidDel="00000000">
              <w:rPr>
                <w:vertAlign w:val="superscript"/>
                <w:rtl w:val="0"/>
              </w:rPr>
              <w:t xml:space="preserve">1</w:t>
            </w:r>
            <w:r w:rsidR="00000000" w:rsidRPr="00000000" w:rsidDel="00000000">
              <w:rPr>
                <w:rtl w:val="0"/>
              </w:rPr>
              <w:t xml:space="preserve">2. atbilstoši deleģētajām valsts pārvaldes funkcijām veselības nozares valsts pārvaldes iestādes - Nacionālo veselības dienestu (turpmāk - dienests) un Veselības inspekciju (turpmāk - inspekcija).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- 31.03.2026.)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1. punktā piedāvāto Ministru kabineta 2023. gada 15. augusta noteikumu Nr. 460 "Eiropas Savienības kohēzijas politikas programmas 2021.–2027. gadam 4.1.2. specifiskā atbalsta mērķa "Uzlabot vienlīdzīgu un savlaicīgu piekļuvi kvalitatīviem, ilgtspējīgiem un izmaksu ziņā pieejamiem veselības aprūpes, veselības veicināšanas un slimību profilakses pakalpojumiem, uzlabojot veselības aprūpes sistēmu efektivitāti un izturētspēju" 4.1.2.5. pasākuma "Piesaistīt un noturēt ārstniecības personas darbam valsts apmaksāto veselības aprūpes pakalpojumu sektorā, īpaši stacionāros" īstenošanas noteikumi" (turpmāk – Noteikumi Nr. 460) 13.</w:t>
            </w:r>
            <w:r w:rsidR="00000000" w:rsidRPr="00000000" w:rsidDel="00000000">
              <w:rPr>
                <w:vertAlign w:val="superscript"/>
                <w:rtl w:val="0"/>
              </w:rPr>
              <w:t xml:space="preserve">1</w:t>
            </w:r>
            <w:r w:rsidR="00000000" w:rsidRPr="00000000" w:rsidDel="00000000">
              <w:rPr>
                <w:rtl w:val="0"/>
              </w:rPr>
              <w:t xml:space="preserve">2. apakšpunktu atbilstoši iecerētajam regulējumam.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pārvaldes iekārtas likuma 40. panta pirmā daļa noteic, ka publiska persona var deleģēt privātpersonai un </w:t>
            </w:r>
            <w:r w:rsidR="00000000" w:rsidRPr="00000000" w:rsidDel="00000000">
              <w:rPr>
                <w:u w:val="single"/>
                <w:rtl w:val="0"/>
              </w:rPr>
              <w:t xml:space="preserve">citai publiskai personai</w:t>
            </w:r>
            <w:r w:rsidR="00000000" w:rsidRPr="00000000" w:rsidDel="00000000">
              <w:rPr>
                <w:rtl w:val="0"/>
              </w:rPr>
              <w:t xml:space="preserve"> pārvaldes uzdevumu, ja pilnvarotā persona attiecīgo uzdevumu var veikt efektīvāk. Atbilstoši šā likuma 41. panta otrajai un trešajai daļai </w:t>
            </w:r>
            <w:r w:rsidR="00000000" w:rsidRPr="00000000" w:rsidDel="00000000">
              <w:rPr>
                <w:u w:val="single"/>
                <w:rtl w:val="0"/>
              </w:rPr>
              <w:t xml:space="preserve">valsts pārvaldes uzdevumu</w:t>
            </w:r>
            <w:r w:rsidR="00000000" w:rsidRPr="00000000" w:rsidDel="00000000">
              <w:rPr>
                <w:rtl w:val="0"/>
              </w:rPr>
              <w:t xml:space="preserve"> deleģē ar normatīvo aktu vai deleģēšanas līgumu. Šā likuma 41. panta pirmā daļa noteic, ka publiska persona var deleģēt pārvaldes uzdevumus, kuru izpilde ietilpst šīs publiskās personas vai tās iestādes kompetencē. Deleģējot pārvaldes uzdevumus, </w:t>
            </w:r>
            <w:r w:rsidR="00000000" w:rsidRPr="00000000" w:rsidDel="00000000">
              <w:rPr>
                <w:u w:val="single"/>
                <w:rtl w:val="0"/>
              </w:rPr>
              <w:t xml:space="preserve">par funkcijas izpildi kopumā atbild attiecīgā publiskā persona</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noteikumu projekta anotācijas 1.3. sadaļas secināms, ka Nacionālais veselības dienests (turpmāk – dienests) un Veselības inspekcija (turpmāk – inspekcija) sadarbības partnera statusā Eiropas Savienības kohēzijas politikas programmas 2021.–2027. gadam 4.1.2. specifiskā atbalsta mērķa "Uzlabot vienlīdzīgu un savlaicīgu piekļuvi kvalitatīviem, ilgtspējīgiem un izmaksu ziņā pieejamiem veselības aprūpes, veselības veicināšanas un slimību profilakses pakalpojumiem, uzlabojot veselības aprūpes sistēmu efektivitāti un izturētspēju" 4.1.2.5. pasākumā "Piesaistīt un noturēt ārstniecības personas darbam valsts apmaksāto veselības aprūpes pakalpojumu sektorā, īpaši stacionāros" tiek iesaistīta atbilstoši funkcijām, kas dienestam un inspekcijai piešķirtas ar attiecīgi Ministru kabineta 2011. gada 1. novembra noteikumiem Nr. 850 "Nacionālā veselības dienesta nolikums" un 2019. gada 9. jūlija noteikumiem Nr. 309 "Veselības inspekcijas nolikums".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noteikumu projekta 1. punktā piedāvātais Noteikumu Nr. 460 13.</w:t>
            </w:r>
            <w:r w:rsidR="00000000" w:rsidRPr="00000000" w:rsidDel="00000000">
              <w:rPr>
                <w:vertAlign w:val="superscript"/>
                <w:rtl w:val="0"/>
              </w:rPr>
              <w:t xml:space="preserve">1</w:t>
            </w:r>
            <w:r w:rsidR="00000000" w:rsidRPr="00000000" w:rsidDel="00000000">
              <w:rPr>
                <w:rtl w:val="0"/>
              </w:rPr>
              <w:t xml:space="preserve">2. apakšpunkts attiecināms uz dienesta un inspekcijas uzdevumiem, kas deleģēti Valsts pārvaldes iekārtas likuma V nodaļas izpratnē, lūdzam precizēt piedāvāto regulējumu atbilstoši šā likuma terminoloģijai. Ja noteikumu projekta 1. punktā piedāvātais Noteikumu Nr. 460 13.</w:t>
            </w:r>
            <w:r w:rsidR="00000000" w:rsidRPr="00000000" w:rsidDel="00000000">
              <w:rPr>
                <w:vertAlign w:val="superscript"/>
                <w:rtl w:val="0"/>
              </w:rPr>
              <w:t xml:space="preserve">1</w:t>
            </w:r>
            <w:r w:rsidR="00000000" w:rsidRPr="00000000" w:rsidDel="00000000">
              <w:rPr>
                <w:rtl w:val="0"/>
              </w:rPr>
              <w:t xml:space="preserve">2. apakšpunkts attiecināms uz dienesta un inspekcijas funkcijām (vai uzdevumiem), kas izriet no dienesta vai inspekcijas darbību regulējošajiem Ministru kabineta noteikumiem (nolikumiem), lūdzam to konkrēti norādīt.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noteikumu grozījumu projekts un papildināta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r w:rsidR="00000000" w:rsidRPr="00000000" w:rsidDel="00000000">
              <w:rPr>
                <w:vertAlign w:val="superscript"/>
                <w:rtl w:val="0"/>
              </w:rPr>
              <w:t xml:space="preserve">1</w:t>
            </w:r>
            <w:r w:rsidR="00000000" w:rsidRPr="00000000" w:rsidDel="00000000">
              <w:rPr>
                <w:rtl w:val="0"/>
              </w:rPr>
              <w:t xml:space="preserve">2. Nacionālo veselības dienestu (turpmāk – dienests) un Veselības inspekciju (turpmāk – inspekcija), kas saskaņā ar to darbību regulējošajiem normatīvajiem aktiem piedalās pasākuma īstenošanā un sniedz to rīcībā esošo informāciju.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Šo noteikumu </w:t>
            </w:r>
            <w:r w:rsidR="00000000" w:rsidRPr="00000000" w:rsidDel="00000000">
              <w:rPr>
                <w:rtl w:val="0"/>
              </w:rPr>
              <w:t xml:space="preserve">15.1.</w:t>
            </w:r>
            <w:r w:rsidR="00000000" w:rsidRPr="00000000" w:rsidDel="00000000">
              <w:rPr>
                <w:rtl w:val="0"/>
              </w:rPr>
              <w:t xml:space="preserve"> apakšpunktā minētās atbalstāmās darbības attiecināmās izmaksas saskaņā ar Eiropas Parlamenta un Padomes Regulas (ES) 2021/1060 (2021. gada 24. jūnijs),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(turpmāk – </w:t>
            </w:r>
            <w:r w:rsidR="00000000" w:rsidRPr="00000000" w:rsidDel="00000000">
              <w:rPr>
                <w:rtl w:val="0"/>
              </w:rPr>
              <w:t xml:space="preserve">Regula Nr. 2021/1060</w:t>
            </w:r>
            <w:r w:rsidR="00000000" w:rsidRPr="00000000" w:rsidDel="00000000">
              <w:rPr>
                <w:rtl w:val="0"/>
              </w:rPr>
              <w:t xml:space="preserve">), 55. panta 1. punktu projekta iesniegumā plāno kā vienu izmaksu pozīciju, piemērojot vienoto izmaksu likmi 13 procentu apmērā no pārējām šo noteikumu </w:t>
            </w:r>
            <w:r w:rsidR="00000000" w:rsidRPr="00000000" w:rsidDel="00000000">
              <w:rPr>
                <w:rtl w:val="0"/>
              </w:rPr>
              <w:t xml:space="preserve">34.</w:t>
            </w:r>
            <w:r w:rsidR="00000000" w:rsidRPr="00000000" w:rsidDel="00000000">
              <w:rPr>
                <w:rtl w:val="0"/>
              </w:rPr>
              <w:t xml:space="preserve"> punktā minētajām projekta tiešajām attiecināmajām īstenošanas izmaksām. Minētās atbalstāmās darbības ietvaros ir attiecināmas finansējuma saņēmēja projekta vadības personāla un īstenošanas personāla atlīdzības izmaksas un šo noteikumu </w:t>
            </w:r>
            <w:r w:rsidR="00000000" w:rsidRPr="00000000" w:rsidDel="00000000">
              <w:rPr>
                <w:rtl w:val="0"/>
              </w:rPr>
              <w:t xml:space="preserve">13.</w:t>
            </w:r>
            <w:r w:rsidR="00000000" w:rsidRPr="00000000" w:rsidDel="00000000">
              <w:rPr>
                <w:vertAlign w:val="superscript"/>
                <w:rtl w:val="0"/>
              </w:rPr>
              <w:t xml:space="preserve">1</w:t>
            </w:r>
            <w:r w:rsidR="00000000" w:rsidRPr="00000000" w:rsidDel="00000000">
              <w:rPr>
                <w:rtl w:val="0"/>
              </w:rPr>
              <w:t xml:space="preserve">2.</w:t>
            </w:r>
            <w:r w:rsidR="00000000" w:rsidRPr="00000000" w:rsidDel="00000000">
              <w:rPr>
                <w:rtl w:val="0"/>
              </w:rPr>
              <w:t xml:space="preserve"> apakšpunktā minēto sadarbības partneru projekta īstenošanas personāla atlīdzības izmaksas par dalību šo noteikumu </w:t>
            </w:r>
            <w:r w:rsidR="00000000" w:rsidRPr="00000000" w:rsidDel="00000000">
              <w:rPr>
                <w:rtl w:val="0"/>
              </w:rPr>
              <w:t xml:space="preserve">35.</w:t>
            </w:r>
            <w:r w:rsidR="00000000" w:rsidRPr="00000000" w:rsidDel="00000000">
              <w:rPr>
                <w:rtl w:val="0"/>
              </w:rPr>
              <w:t xml:space="preserve"> punktā minētās ārstniecības personu piesaistes konsultatīvās darba grupas darbā.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- 31.03.2026.)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Ministru kabineta 2023. gada 15. augusta noteikumu Nr. 460 "Eiropas Savienības kohēzijas politikas programmas 2021.–2027. gadam 4.1.2. specifiskā atbalsta mērķa "Uzlabot vienlīdzīgu un savlaicīgu piekļuvi kvalitatīviem, ilgtspējīgiem un izmaksu ziņā pieejamiem veselības aprūpes, veselības veicināšanas un slimību profilakses pakalpojumiem, uzlabojot veselības aprūpes sistēmu efektivitāti un izturētspēju" 4.1.2.5. pasākuma "Piesaistīt un noturēt ārstniecības personas darbam valsts apmaksāto veselības aprūpes pakalpojumu sektorā, īpaši stacionāros" īstenošanas noteikumi" 16. punktā veiktos grozījumus, kas paredz atlīdzības izmaksas konsultatīvajai darba grupai, kuras sastāvā plānots iesaistīt Nacionālo veselības dienestu un Veselības inspekciju kā sadarbības partneri atbilstoši valsts deleģētajām funkcijām.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Eiropas Savienības finansētos projektos nevar atbalstīt konkrētas valsts vai privātas struktūras darbību vai funkcijas, uz ko norādīts arī Eiropas Komisijas auditoru konstatējumu revīzijas Nr. DAC514LV2518 ietvaros par Eiropas Savienības struktūrfondu un Kohēzijas fonda 2014.–2020.gada plānošanas perioda projektiem.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precizēt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noteikumu grozījumu projekts un papildināta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Šo noteikumu </w:t>
            </w:r>
            <w:r w:rsidR="00000000" w:rsidRPr="00000000" w:rsidDel="00000000">
              <w:rPr>
                <w:rtl w:val="0"/>
              </w:rPr>
              <w:t xml:space="preserve">15.1.</w:t>
            </w:r>
            <w:r w:rsidR="00000000" w:rsidRPr="00000000" w:rsidDel="00000000">
              <w:rPr>
                <w:rtl w:val="0"/>
              </w:rPr>
              <w:t xml:space="preserve"> apakšpunktā minētās atbalstāmās darbības attiecināmās izmaksas saskaņā ar Eiropas Parlamenta un Padomes Regulas (ES) 2021/1060 (2021. gada 24. jūnijs),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(turpmāk – </w:t>
            </w:r>
            <w:r w:rsidR="00000000" w:rsidRPr="00000000" w:rsidDel="00000000">
              <w:rPr>
                <w:rtl w:val="0"/>
              </w:rPr>
              <w:t xml:space="preserve">Regula Nr. 2021/1060</w:t>
            </w:r>
            <w:r w:rsidR="00000000" w:rsidRPr="00000000" w:rsidDel="00000000">
              <w:rPr>
                <w:rtl w:val="0"/>
              </w:rPr>
              <w:t xml:space="preserve">), 55. panta 1. punktu projekta iesniegumā plāno kā vienu izmaksu pozīciju, piemērojot vienoto izmaksu likmi 13 procentu apmērā no pārējām šo noteikumu </w:t>
            </w:r>
            <w:r w:rsidR="00000000" w:rsidRPr="00000000" w:rsidDel="00000000">
              <w:rPr>
                <w:rtl w:val="0"/>
              </w:rPr>
              <w:t xml:space="preserve">34.</w:t>
            </w:r>
            <w:r w:rsidR="00000000" w:rsidRPr="00000000" w:rsidDel="00000000">
              <w:rPr>
                <w:rtl w:val="0"/>
              </w:rPr>
              <w:t xml:space="preserve"> punktā minētajām projekta tiešajām attiecināmajām īstenošanas izmaksām. Minētās atbalstāmās darbības ietvaros ir attiecināmas finansējuma saņēmēja projekta vadības personāla un īstenošanas personāla atlīdzības izmaksas un šo noteikumu </w:t>
            </w:r>
            <w:r w:rsidR="00000000" w:rsidRPr="00000000" w:rsidDel="00000000">
              <w:rPr>
                <w:rtl w:val="0"/>
              </w:rPr>
              <w:t xml:space="preserve">13.</w:t>
            </w:r>
            <w:r w:rsidR="00000000" w:rsidRPr="00000000" w:rsidDel="00000000">
              <w:rPr>
                <w:vertAlign w:val="superscript"/>
                <w:rtl w:val="0"/>
              </w:rPr>
              <w:t xml:space="preserve">1</w:t>
            </w:r>
            <w:r w:rsidR="00000000" w:rsidRPr="00000000" w:rsidDel="00000000">
              <w:rPr>
                <w:rtl w:val="0"/>
              </w:rPr>
              <w:t xml:space="preserve">2.</w:t>
            </w:r>
            <w:r w:rsidR="00000000" w:rsidRPr="00000000" w:rsidDel="00000000">
              <w:rPr>
                <w:rtl w:val="0"/>
              </w:rPr>
              <w:t xml:space="preserve"> apakšpunktā minēto sadarbības partneru projekta īstenošanas personāla atlīdzības izmaksas par dalību pasākuma īstenošanā savas kompetences ietvaros.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w:t>
            </w:r>
            <w:r w:rsidR="00000000" w:rsidRPr="00000000" w:rsidDel="00000000">
              <w:rPr>
                <w:vertAlign w:val="superscript"/>
                <w:rtl w:val="0"/>
              </w:rPr>
              <w:t xml:space="preserve">2</w:t>
            </w:r>
            <w:r w:rsidR="00000000" w:rsidRPr="00000000" w:rsidDel="00000000">
              <w:rPr>
                <w:rtl w:val="0"/>
              </w:rPr>
              <w:t xml:space="preserve"> pretendents nav strādājis kompensācijas pretendenta pieteikumā norādītajā atbalstāmajā profesijā un specialitātē Cilvēkresursu plānā norādītajā atbalstāmajā iestādē;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- 31.03.2026.)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papildinot Noteikumus Nr. 460 ar 21.1.</w:t>
            </w:r>
            <w:r w:rsidR="00000000" w:rsidRPr="00000000" w:rsidDel="00000000">
              <w:rPr>
                <w:vertAlign w:val="superscript"/>
                <w:rtl w:val="0"/>
              </w:rPr>
              <w:t xml:space="preserve">2</w:t>
            </w:r>
            <w:r w:rsidR="00000000" w:rsidRPr="00000000" w:rsidDel="00000000">
              <w:rPr>
                <w:rtl w:val="0"/>
              </w:rPr>
              <w:t xml:space="preserve"> apakšpunktu, nav skaidri noteikta šī regulējuma piemērošanas kārtība un tā kopsakarība ar 21.2. un 21.2.</w:t>
            </w:r>
            <w:r w:rsidR="00000000" w:rsidRPr="00000000" w:rsidDel="00000000">
              <w:rPr>
                <w:vertAlign w:val="superscript"/>
                <w:rtl w:val="0"/>
              </w:rPr>
              <w:t xml:space="preserve">1</w:t>
            </w:r>
            <w:r w:rsidR="00000000" w:rsidRPr="00000000" w:rsidDel="00000000">
              <w:rPr>
                <w:rtl w:val="0"/>
              </w:rPr>
              <w:t xml:space="preserve"> apakšpunktā ietverto regulējumu, kuros jau ir noteikti konkrēti atskaites brīži pretendenta atbilstības izvērtēšanai.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Proti, 21.1.</w:t>
            </w:r>
            <w:r w:rsidR="00000000" w:rsidRPr="00000000" w:rsidDel="00000000">
              <w:rPr>
                <w:vertAlign w:val="superscript"/>
                <w:rtl w:val="0"/>
              </w:rPr>
              <w:t xml:space="preserve">2</w:t>
            </w:r>
            <w:r w:rsidR="00000000" w:rsidRPr="00000000" w:rsidDel="00000000">
              <w:rPr>
                <w:rtl w:val="0"/>
              </w:rPr>
              <w:t xml:space="preserve"> apakšpunkts paredz vispārīgu nosacījumu attiecībā uz pretendenta iepriekšējo nodarbinātību, savukārt 21.2. un 21.2.</w:t>
            </w:r>
            <w:r w:rsidR="00000000" w:rsidRPr="00000000" w:rsidDel="00000000">
              <w:rPr>
                <w:vertAlign w:val="superscript"/>
                <w:rtl w:val="0"/>
              </w:rPr>
              <w:t xml:space="preserve">1</w:t>
            </w:r>
            <w:r w:rsidR="00000000" w:rsidRPr="00000000" w:rsidDel="00000000">
              <w:rPr>
                <w:rtl w:val="0"/>
              </w:rPr>
              <w:t xml:space="preserve"> apakšpunktā ir noteikti konkrēti atskaites brīži pretendenta atbilstības izvērtēšanai. No noteikumu redakcijas nav skaidrs, vai jaunais regulējums ir piemērojams neatkarīgi no minētajiem atskaites datumiem vai tikai šo apakšpunktu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regulējuma konstrukcija rada tiesiskās skaidrības trūkumu un risku, ka regulējums var tikt piemērots arī attiecībā uz jau iesniegtiem pieteikumiem, tādējādi radot normu piemērošanu ar atpakaļejošu spēku. Atgādinām, ka normatīvajiem aktiem nav atpakaļejoša spēka, izņemot likumā īpaši paredzētus gadījumus, un šāda situācija var aizskart tiesiskās paļāvības principu.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precizēt 21.1.</w:t>
            </w:r>
            <w:r w:rsidR="00000000" w:rsidRPr="00000000" w:rsidDel="00000000">
              <w:rPr>
                <w:vertAlign w:val="superscript"/>
                <w:rtl w:val="0"/>
              </w:rPr>
              <w:t xml:space="preserve">2 </w:t>
            </w:r>
            <w:r w:rsidR="00000000" w:rsidRPr="00000000" w:rsidDel="00000000">
              <w:rPr>
                <w:rtl w:val="0"/>
              </w:rPr>
              <w:t xml:space="preserve">apakšpunkta piemērošanas tvērumu, nepieciešamības gadījumā paredzot skaidru piemērošanas kārtību laikā vai sniedzot attiecīgu skaidrojumu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telefonsarunai ar TM un saņemtajam e-pastam, papildu precizējumi norādītajā MK noteikumu apakšpunktā šobrīd nav nepieciešami.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skaidrojam, ka izstrādātais pārejas noteikums ir ieviests ar mērķi nodrošināt viennozīmīgu un caurskatāmu normas interpretāciju gan pieteikumu iesniedzējiem, gan citām iesaistītajām pusēm. Šāda pieeja novērš pretrunīgas interpretācijas iespējas un sekmē efektīvu procesa norisi. Esošā MK noteikumu 56. punkta redakcija ir saskaņota ar VK.</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w:t>
            </w:r>
            <w:r w:rsidR="00000000" w:rsidRPr="00000000" w:rsidDel="00000000">
              <w:rPr>
                <w:vertAlign w:val="superscript"/>
                <w:rtl w:val="0"/>
              </w:rPr>
              <w:t xml:space="preserve">2</w:t>
            </w:r>
            <w:r w:rsidR="00000000" w:rsidRPr="00000000" w:rsidDel="00000000">
              <w:rPr>
                <w:rtl w:val="0"/>
              </w:rPr>
              <w:t xml:space="preserve"> pretendents nav strādājis kompensācijas pretendenta pieteikumā norādītajā atbalstāmajā profesijā un specialitātē Cilvēkresursu plānā norādītajā atbalstāmajā iestādē;</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- 31.03.2026.)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noteikumu projekta anotācijā ietvert skaidrojumu par izstrādāto Ministru kabineta noteikumu grozījumu ietekmi uz finansējuma saņēmēju, kā arī lūdzam norādīt, vai izstrādātie grozījumi nav uzskatāmi par būtiskiem Eiropas Parlamenta un Padomes 2021. gada 24. jūnija Regulas (ES)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izpratnē, tas ir tādi, kas ietekmē īstenošanā esošo projektu darbības veidu, mērķus vai īstenošanas nosacījumus, tādējādi traucējot projekta sākotnējo mērķu sasniegšanu.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papildināt noteikumu projekta anotāciju ar informāciju par to, vai vienošanās par projekta īstenošanu būs nepieciešams veikt grozījumus.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MK noteikumu projekta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- 07.04.2026.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2. sadaļu.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fiziskajām personām lūdzam precizēt ietekmes aprakstu. Šobrīd ietekmes aprakstā norādīts, ka tiesiskais regulējums nemaina tiesības un pienākumus, vienlaikus aprakstot atbalsta sniegšanu kā motivācijas mehānismu. Lūdzam skaidri un kodolīgi norādīt, kā projekts ietekmē mērķa grupu, proti, kas tieši mainās (piemēram, vai tiek ieviests jauns atbalsta mehānisms, mainīti nosacījumi u.tml.), nevis tikai vispārīgi raksturot regulējuma mērķi.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juridiskajām personām lūdzam precizēt mērķa grupu un ietekmes aprakstu. Vēršam uzmanību, ka anotācijas 2. sadaļā ir norādāmi privāto tiesību subjekti, kurus ietekmē tiesiskais regulējums, savukārt valsts institūcijas (piemēram, Veselības ministrija) šajā sadaļā nav uzrādāmas. Tāpat lūdzam precizēt ietekmes aprakstu, skaidri norādot, kā regulējums ietekmēs ārstniecības iestādes (piemēram, vai tām rodas jauni pienākumi, mainās darbības kārtība u.tml.), nevis norādīt, ka tiesības un pienākumi pēc būtības nemainās.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anotācijas 2. sadaļā ietvertais administratīvo izmaksu aprēķins attiecas uz valsts iestādi. Ietekme uz valsts iestādēm un administratīvo izmaksu aprēķins ir norādāmi anotācijas 7. sadaļā. Papildus lūdzam precizēt administratīvo izmaksu novērtējuma skaidrojumu, skaidri norādot, uz kuriem tiesību akta projekta punktiem attiecas identificētais informācijas sniegšanas pienākums, kā arī pamatot veikto aprēķinu.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MK noteikumu projekta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- 07.04.2026.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anotācijas 6.4.apakšpunktā norādīto informāciju ietver skaidrojumā, fiksējot iemeslus (jau norādītos) kādēļ sabiedrības līdzdalības iespējas nebija nepieciešams nodrošināt.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MK noteikumu projekta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 Cita informācija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Šo noteikumu </w:t>
            </w:r>
            <w:r w:rsidR="00000000" w:rsidRPr="00000000" w:rsidDel="00000000">
              <w:rPr>
                <w:rtl w:val="0"/>
              </w:rPr>
              <w:t xml:space="preserve">15.1.</w:t>
            </w:r>
            <w:r w:rsidR="00000000" w:rsidRPr="00000000" w:rsidDel="00000000">
              <w:rPr>
                <w:rtl w:val="0"/>
              </w:rPr>
              <w:t xml:space="preserve"> apakšpunktā minētās atbalstāmās darbības attiecināmās izmaksas saskaņā ar Eiropas Parlamenta un Padomes Regulas (ES) 2021/1060 (2021. gada 24. jūnijs),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(turpmāk – </w:t>
            </w:r>
            <w:r w:rsidR="00000000" w:rsidRPr="00000000" w:rsidDel="00000000">
              <w:rPr>
                <w:rtl w:val="0"/>
              </w:rPr>
              <w:t xml:space="preserve">Regula Nr. 2021/1060</w:t>
            </w:r>
            <w:r w:rsidR="00000000" w:rsidRPr="00000000" w:rsidDel="00000000">
              <w:rPr>
                <w:rtl w:val="0"/>
              </w:rPr>
              <w:t xml:space="preserve">), 55. panta 1. punktu projekta iesniegumā plāno kā vienu izmaksu pozīciju, piemērojot vienoto izmaksu likmi 13 procentu apmērā no pārējām šo noteikumu </w:t>
            </w:r>
            <w:r w:rsidR="00000000" w:rsidRPr="00000000" w:rsidDel="00000000">
              <w:rPr>
                <w:rtl w:val="0"/>
              </w:rPr>
              <w:t xml:space="preserve">34.</w:t>
            </w:r>
            <w:r w:rsidR="00000000" w:rsidRPr="00000000" w:rsidDel="00000000">
              <w:rPr>
                <w:rtl w:val="0"/>
              </w:rPr>
              <w:t xml:space="preserve"> punktā minētajām projekta tiešajām attiecināmajām īstenošanas izmaksām. Minētās atbalstāmās darbības ietvaros ir attiecināmas finansējuma saņēmēja projekta vadības personāla un īstenošanas personāla atlīdzības izmaksas un šo noteikumu </w:t>
            </w:r>
            <w:r w:rsidR="00000000" w:rsidRPr="00000000" w:rsidDel="00000000">
              <w:rPr>
                <w:rtl w:val="0"/>
              </w:rPr>
              <w:t xml:space="preserve">13.</w:t>
            </w:r>
            <w:r w:rsidR="00000000" w:rsidRPr="00000000" w:rsidDel="00000000">
              <w:rPr>
                <w:vertAlign w:val="superscript"/>
                <w:rtl w:val="0"/>
              </w:rPr>
              <w:t xml:space="preserve">1</w:t>
            </w:r>
            <w:r w:rsidR="00000000" w:rsidRPr="00000000" w:rsidDel="00000000">
              <w:rPr>
                <w:rtl w:val="0"/>
              </w:rPr>
              <w:t xml:space="preserve">2.</w:t>
            </w:r>
            <w:r w:rsidR="00000000" w:rsidRPr="00000000" w:rsidDel="00000000">
              <w:rPr>
                <w:rtl w:val="0"/>
              </w:rPr>
              <w:t xml:space="preserve"> apakšpunktā minēto sadarbības partneru projekta īstenošanas personāla atlīdzības izmaksas par dalību šo noteikumu </w:t>
            </w:r>
            <w:r w:rsidR="00000000" w:rsidRPr="00000000" w:rsidDel="00000000">
              <w:rPr>
                <w:rtl w:val="0"/>
              </w:rPr>
              <w:t xml:space="preserve">35.</w:t>
            </w:r>
            <w:r w:rsidR="00000000" w:rsidRPr="00000000" w:rsidDel="00000000">
              <w:rPr>
                <w:rtl w:val="0"/>
              </w:rPr>
              <w:t xml:space="preserve"> punktā minētās ārstniecības personu piesaistes konsultatīvās darba grupas darbā.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- 31.03.2026.)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2023. gadā attiecīgā izmaksu likme tika saskaņota ar Vadošo iestādi, balstoties uz finansējuma saņēmēja datiem, ir būtiski pārliecināties, ka šie dati ir reprezentatīvi arī sadarbības partneru izmaksu struktūrai.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aicinām izvērtēt, vai sadarbības partneru izmaksu struktūra atbilst apstiprinātās likmes datiem, kā arī lūdzam papildināt tiesību akta projekta anotācijā sniegto informāciju, pretējā gadījumā pastāv potenciāls revīzijas risks nākotnē.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MK noteikumu projekta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Šo noteikumu </w:t>
            </w:r>
            <w:r w:rsidR="00000000" w:rsidRPr="00000000" w:rsidDel="00000000">
              <w:rPr>
                <w:rtl w:val="0"/>
              </w:rPr>
              <w:t xml:space="preserve">15.1.</w:t>
            </w:r>
            <w:r w:rsidR="00000000" w:rsidRPr="00000000" w:rsidDel="00000000">
              <w:rPr>
                <w:rtl w:val="0"/>
              </w:rPr>
              <w:t xml:space="preserve"> apakšpunktā minētās atbalstāmās darbības attiecināmās izmaksas saskaņā ar Eiropas Parlamenta un Padomes Regulas (ES) 2021/1060 (2021. gada 24. jūnijs),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(turpmāk – </w:t>
            </w:r>
            <w:r w:rsidR="00000000" w:rsidRPr="00000000" w:rsidDel="00000000">
              <w:rPr>
                <w:rtl w:val="0"/>
              </w:rPr>
              <w:t xml:space="preserve">Regula Nr. 2021/1060</w:t>
            </w:r>
            <w:r w:rsidR="00000000" w:rsidRPr="00000000" w:rsidDel="00000000">
              <w:rPr>
                <w:rtl w:val="0"/>
              </w:rPr>
              <w:t xml:space="preserve">), 55. panta 1. punktu projekta iesniegumā plāno kā vienu izmaksu pozīciju, piemērojot vienoto izmaksu likmi 13 procentu apmērā no pārējām šo noteikumu </w:t>
            </w:r>
            <w:r w:rsidR="00000000" w:rsidRPr="00000000" w:rsidDel="00000000">
              <w:rPr>
                <w:rtl w:val="0"/>
              </w:rPr>
              <w:t xml:space="preserve">34.</w:t>
            </w:r>
            <w:r w:rsidR="00000000" w:rsidRPr="00000000" w:rsidDel="00000000">
              <w:rPr>
                <w:rtl w:val="0"/>
              </w:rPr>
              <w:t xml:space="preserve"> punktā minētajām projekta tiešajām attiecināmajām īstenošanas izmaksām. Minētās atbalstāmās darbības ietvaros ir attiecināmas finansējuma saņēmēja projekta vadības personāla un īstenošanas personāla atlīdzības izmaksas un šo noteikumu </w:t>
            </w:r>
            <w:r w:rsidR="00000000" w:rsidRPr="00000000" w:rsidDel="00000000">
              <w:rPr>
                <w:rtl w:val="0"/>
              </w:rPr>
              <w:t xml:space="preserve">13.</w:t>
            </w:r>
            <w:r w:rsidR="00000000" w:rsidRPr="00000000" w:rsidDel="00000000">
              <w:rPr>
                <w:vertAlign w:val="superscript"/>
                <w:rtl w:val="0"/>
              </w:rPr>
              <w:t xml:space="preserve">1</w:t>
            </w:r>
            <w:r w:rsidR="00000000" w:rsidRPr="00000000" w:rsidDel="00000000">
              <w:rPr>
                <w:rtl w:val="0"/>
              </w:rPr>
              <w:t xml:space="preserve">2.</w:t>
            </w:r>
            <w:r w:rsidR="00000000" w:rsidRPr="00000000" w:rsidDel="00000000">
              <w:rPr>
                <w:rtl w:val="0"/>
              </w:rPr>
              <w:t xml:space="preserve"> apakšpunktā minēto sadarbības partneru projekta īstenošanas personāla atlīdzības izmaksas par dalību pasākuma īstenošanā savas kompetences ietvaros.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50.6. atsauci uz </w:t>
            </w:r>
            <w:r w:rsidR="00000000" w:rsidRPr="00000000" w:rsidDel="00000000">
              <w:rPr>
                <w:rtl w:val="0"/>
              </w:rPr>
              <w:t xml:space="preserve">Eiropas Komisijas 2011. gada 20. decembra Lēmumu Nr. 2012/21/ES</w:t>
            </w:r>
            <w:r w:rsidR="00000000" w:rsidRPr="00000000" w:rsidDel="00000000">
              <w:rPr>
                <w:rtl w:val="0"/>
              </w:rPr>
              <w:t xml:space="preserve"> par Līguma par Eiropas Savienības darbību 106. panta 2. punkta piemērošanu komercdarbības atbalstam attiecībā uz kompensāciju par sabiedriskajiem pakalpojumiem dažiem uzņēmumiem, kuriem uzticēts sniegt pakalpojumus ar vispārēju tautsaimniecisku nozīmi (turpmāk – Komisijas lēmums Nr. 2012/21/ES).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- 31.03.2026.)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2026. gada 8. janvārī stājies spēkā Komisijas Lēmums (ES) 2025/2630 Par Līguma par Eiropas Savienības darbību 106. panta 2. punkta piemērošanu valsts atbalstam attiecībā uz kompensāciju par sabiedriskajiem pakalpojumiem dažiem uzņēmumiem, kuriem uzticēts sniegt pakalpojumus ar vispārēju tautsaimniecisku nozīmi, un ar ko atceļ Lēmumu 2012/21/ES (turpmāk – jaunais VTNP lēmums), kas aizstās Komisijas Lēmumu 2012/21/ES (2011.gada 20.decembris) par Līguma par Eiropas Savienības darbību 106.panta 2.punkta piemērošanu valsts atbalstam attiecībā uz kompensāciju par sabiedriskajiem pakalpojumiem dažiem uzņēmumiem, kuriem uzticēts sniegt pakalpojumus ar vispārēju tautsaimniecisku nozīmi (turpmāk – vecais VTNP lēmums). Vienlaikus jaunajā VTNP lēmumā ir noteikts, ka visas atbalsta programmas, kas stājās spēkā pirms tā spēkā stāšanās un kas bija saderīgas ar iekšējo tirgu un atbrīvotas no paziņošanas prasības saskaņā ar veco VTNP lēmumu, arī turpmāk ir saderīgas ar iekšējo tirgu un atbrīvotas no paziņošanas prasības vēl divu gadu laikposmā pēc šā lēmuma stāšanās spēkā. Vēršam uzmanību, ka atbilstoši Jaunā VTNP lēmuma pārejas noteikumiem (9. panta a) punkts) atbalsta shēmas, kas stājās spēkā pirms jaunā lēmuma spēkā stāšanās un bija saderīgas ar Eiropas Savienības iekšējo tirgu un atbrīvotas no paziņošanas pienākuma saskaņā ar veco VTNP lēmumu, arī turpmāk ir saderīgas ar iekšējo tirgu un atbrīvotas no paziņošanas prasības vēl divu gadu laikposmā pēc šā lēmuma stāšanās spēkā, t.i., līdz 2028. gada 7. janvārim. Neskatoties uz jauno regulējumu, saderības ar ES iekšējo tirgu pamatnosacījumi nav konceptuāli mainīti, proti, gan vecais VTNP lēmums, gan jaunais VTNP lēmums balstās uz tiem pašiem principiem, un jaunais lēmums būtiski nepārskata šos principus, bet tikai precizē terminoloģiju un atsevišķus aspektus, piemēram, pilnvarojuma satura prasības un atsevišķu vispārējas tautsaimniecības nozīmes pakalpojuma kategoriju definīcijas. Lai būtu skaidrs, ka, neveicot grozījumus MK noteikumos, atbalstu programmas ietvaros saskaņā ar veco VTNP lēmumu var saņemt arī subjekti, kam noslēgts pilnvarojuma akts ar jauno VTNP lēmumu, aicinām anotācijā iekļaut atrunu, ka atbalstu saskaņā ar veco VTNP lēmumu var saņemt arī subjekti, kam noslēgts pilnvarojuma akts ar jauno VTNP lēmumu, ievērojot noteikumos ietvertos atbalsta nosacījumus un nosacījumus, kas izriet no vecā VTNP lēmuma, un atsauces neesamība pilnvarojuma aktā uz veco VTNP lēmumu nav šķērslis, lai piešķirtu atbalstu saskaņā ar veco VTNP lēmumu. Taču, ja plānots, ka gadījumos, kad pilnvarojuma akts noslēgts atbilstoši jaunajam VTNP lēmumam, atbalstu piešķirs ar jauno VTNP lēmumu, tad lūgums veikt precizējumus MK noteikumos un sniegt atbilstošu skaidrojumu anotācijā, skaidri nosakot, kuros gadījumos atbalstu piešķirs atbilstoši vecajam VTNP lēmumam un kuros – atbilstoši jaunajam VTNP lēmumam (atkarībā no tā, ar kuru Lēmumu pilnvarojuma akts). Piemēram, tad MK noteikumu 50.6.punkts būtu papildināms ar tekstu "(izņemot, ja pilnvarojum akts ir ar Komisijas Lēmumu (ES) 2025/2630 (2025. gada 16. decembris) par Līguma par Eiropas Savienības darbību 106. panta 2. punkta piemērošanu valsts atbalstam attiecībā uz kompensāciju par sabiedriskajiem pakalpojumiem dažiem uzņēmumiem, kuriem uzticēts sniegt pakalpojumus ar vispārēju tautsaimniecisku nozīmi, un ar ko atceļ Lēmumu 2012/21/ES)" un jāsniedz skaidrojums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MK noteikumu projekta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50.6. atsauci uz </w:t>
            </w:r>
            <w:r w:rsidR="00000000" w:rsidRPr="00000000" w:rsidDel="00000000">
              <w:rPr>
                <w:rtl w:val="0"/>
              </w:rPr>
              <w:t xml:space="preserve">Eiropas Komisijas 2011. gada 20. decembra Lēmumu Nr. 2012/21/ES</w:t>
            </w:r>
            <w:r w:rsidR="00000000" w:rsidRPr="00000000" w:rsidDel="00000000">
              <w:rPr>
                <w:rtl w:val="0"/>
              </w:rPr>
              <w:t xml:space="preserve"> par Līguma par Eiropas Savienības darbību 106. panta 2. punkta piemērošanu komercdarbības atbalstam attiecībā uz kompensāciju par sabiedriskajiem pakalpojumiem dažiem uzņēmumiem, kuriem uzticēts sniegt pakalpojumus ar vispārēju tautsaimniecisku nozīmi (turpmāk – Komisijas lēmums Nr. 2012/21/ES).</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26-TA-652</w:t>
    </w:r>
    <w:r>
      <w:br/>
    </w:r>
    <w:r w:rsidR="00000000" w:rsidRPr="00000000" w:rsidDel="00000000">
      <w:rPr>
        <w:rtl w:val="0"/>
      </w:rPr>
      <w:t xml:space="preserve">18.05.2026. 09.40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26-TA-652</w:t>
    </w:r>
    <w:r>
      <w:br/>
    </w:r>
    <w:r w:rsidR="00000000" w:rsidRPr="00000000" w:rsidDel="00000000">
      <w:rPr>
        <w:rtl w:val="0"/>
      </w:rPr>
      <w:t xml:space="preserve">18.05.2026. 09.40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Izziņa_26-TA-652.docx</dc:title>
</cp:coreProperties>
</file>

<file path=docProps/custom.xml><?xml version="1.0" encoding="utf-8"?>
<Properties xmlns="http://schemas.openxmlformats.org/officeDocument/2006/custom-properties" xmlns:vt="http://schemas.openxmlformats.org/officeDocument/2006/docPropsVTypes"/>
</file>