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1E8A" w14:textId="77777777" w:rsidR="007046C5" w:rsidRDefault="007046C5" w:rsidP="007046C5">
      <w:pPr>
        <w:jc w:val="center"/>
        <w:rPr>
          <w:b/>
          <w:sz w:val="28"/>
        </w:rPr>
      </w:pPr>
      <w:r>
        <w:rPr>
          <w:b/>
          <w:sz w:val="28"/>
        </w:rPr>
        <w:t xml:space="preserve">Izziņa par vērā neņemtajiem iebildumiem pēc 2025. gada 23. maija </w:t>
      </w:r>
    </w:p>
    <w:p w14:paraId="2474198C" w14:textId="1C1FAA4A" w:rsidR="004256E5" w:rsidRDefault="007046C5" w:rsidP="007046C5">
      <w:pPr>
        <w:jc w:val="center"/>
        <w:rPr>
          <w:b/>
          <w:sz w:val="28"/>
        </w:rPr>
      </w:pPr>
      <w:r>
        <w:rPr>
          <w:b/>
          <w:sz w:val="28"/>
        </w:rPr>
        <w:t>starpinst</w:t>
      </w:r>
      <w:r w:rsidR="00C90632">
        <w:rPr>
          <w:b/>
          <w:sz w:val="28"/>
        </w:rPr>
        <w:t>i</w:t>
      </w:r>
      <w:r>
        <w:rPr>
          <w:b/>
          <w:sz w:val="28"/>
        </w:rPr>
        <w:t>tūcij</w:t>
      </w:r>
      <w:r w:rsidR="00C90632">
        <w:rPr>
          <w:b/>
          <w:sz w:val="28"/>
        </w:rPr>
        <w:t>u</w:t>
      </w:r>
      <w:r>
        <w:rPr>
          <w:b/>
          <w:sz w:val="28"/>
        </w:rPr>
        <w:t xml:space="preserve"> sask</w:t>
      </w:r>
      <w:r w:rsidR="00C90632">
        <w:rPr>
          <w:b/>
          <w:sz w:val="28"/>
        </w:rPr>
        <w:t>aņ</w:t>
      </w:r>
      <w:r>
        <w:rPr>
          <w:b/>
          <w:sz w:val="28"/>
        </w:rPr>
        <w:t>ošanas sanāksmes</w:t>
      </w:r>
    </w:p>
    <w:p w14:paraId="1504D6E5" w14:textId="77777777" w:rsidR="004256E5" w:rsidRDefault="004256E5" w:rsidP="004256E5">
      <w:pPr>
        <w:pStyle w:val="Header"/>
        <w:contextualSpacing w:val="0"/>
      </w:pPr>
      <w:r>
        <w:t>Minimālās kiberdrošības prasības</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4256E5" w14:paraId="1E6E845D" w14:textId="77777777" w:rsidTr="00544892">
        <w:tc>
          <w:tcPr>
            <w:tcW w:w="1015" w:type="dxa"/>
            <w:shd w:val="clear" w:color="auto" w:fill="FFFFFF"/>
            <w:noWrap/>
            <w:tcMar>
              <w:top w:w="75" w:type="dxa"/>
              <w:left w:w="75" w:type="dxa"/>
              <w:bottom w:w="75" w:type="dxa"/>
              <w:right w:w="75" w:type="dxa"/>
            </w:tcMar>
            <w:vAlign w:val="center"/>
          </w:tcPr>
          <w:p w14:paraId="75B4CA28" w14:textId="77777777" w:rsidR="004256E5" w:rsidRDefault="004256E5" w:rsidP="00544892">
            <w:pPr>
              <w:jc w:val="center"/>
              <w:rPr>
                <w:b/>
              </w:rPr>
            </w:pPr>
            <w:r>
              <w:rPr>
                <w:b/>
              </w:rPr>
              <w:t>Nr.p.k.</w:t>
            </w:r>
          </w:p>
        </w:tc>
        <w:tc>
          <w:tcPr>
            <w:tcW w:w="3388" w:type="dxa"/>
            <w:shd w:val="clear" w:color="auto" w:fill="FFFFFF"/>
            <w:noWrap/>
            <w:tcMar>
              <w:top w:w="75" w:type="dxa"/>
              <w:left w:w="75" w:type="dxa"/>
              <w:bottom w:w="75" w:type="dxa"/>
              <w:right w:w="75" w:type="dxa"/>
            </w:tcMar>
            <w:vAlign w:val="center"/>
          </w:tcPr>
          <w:p w14:paraId="33BC5EDD" w14:textId="77777777" w:rsidR="004256E5" w:rsidRDefault="004256E5" w:rsidP="00544892">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5C90015A" w14:textId="77777777" w:rsidR="004256E5" w:rsidRDefault="004256E5" w:rsidP="00544892">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1B90B4F6" w14:textId="77777777" w:rsidR="004256E5" w:rsidRDefault="004256E5" w:rsidP="00544892">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197AFDFD" w14:textId="77777777" w:rsidR="004256E5" w:rsidRDefault="004256E5" w:rsidP="00544892">
            <w:pPr>
              <w:jc w:val="center"/>
              <w:rPr>
                <w:b/>
              </w:rPr>
            </w:pPr>
            <w:r>
              <w:rPr>
                <w:b/>
              </w:rPr>
              <w:t>Galīgā redakcija</w:t>
            </w:r>
          </w:p>
        </w:tc>
      </w:tr>
      <w:tr w:rsidR="004256E5" w14:paraId="3BF43494" w14:textId="77777777" w:rsidTr="00544892">
        <w:tc>
          <w:tcPr>
            <w:tcW w:w="1015" w:type="dxa"/>
            <w:shd w:val="clear" w:color="auto" w:fill="FFFFFF"/>
            <w:noWrap/>
            <w:tcMar>
              <w:top w:w="75" w:type="dxa"/>
              <w:left w:w="75" w:type="dxa"/>
              <w:bottom w:w="75" w:type="dxa"/>
              <w:right w:w="75" w:type="dxa"/>
            </w:tcMar>
          </w:tcPr>
          <w:p w14:paraId="271A1689" w14:textId="77777777" w:rsidR="004256E5" w:rsidRDefault="004256E5" w:rsidP="00544892">
            <w:r>
              <w:t>94.</w:t>
            </w:r>
          </w:p>
        </w:tc>
        <w:tc>
          <w:tcPr>
            <w:tcW w:w="3388" w:type="dxa"/>
            <w:shd w:val="clear" w:color="auto" w:fill="FFFFFF"/>
            <w:noWrap/>
            <w:tcMar>
              <w:top w:w="75" w:type="dxa"/>
              <w:left w:w="75" w:type="dxa"/>
              <w:bottom w:w="75" w:type="dxa"/>
              <w:right w:w="75" w:type="dxa"/>
            </w:tcMar>
          </w:tcPr>
          <w:p w14:paraId="2EDF5711" w14:textId="77777777" w:rsidR="004256E5" w:rsidRDefault="004256E5" w:rsidP="00544892">
            <w:pPr>
              <w:spacing w:after="240"/>
              <w:rPr>
                <w:b/>
              </w:rPr>
            </w:pPr>
            <w:r>
              <w:rPr>
                <w:b/>
              </w:rPr>
              <w:t>Noteikumu projekts</w:t>
            </w:r>
          </w:p>
          <w:p w14:paraId="491C0416" w14:textId="77777777" w:rsidR="004256E5" w:rsidRDefault="004256E5" w:rsidP="00544892">
            <w:r>
              <w:t>19. Šo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tcW w:w="3388" w:type="dxa"/>
            <w:shd w:val="clear" w:color="auto" w:fill="FFFFFF"/>
            <w:noWrap/>
            <w:tcMar>
              <w:top w:w="75" w:type="dxa"/>
              <w:left w:w="75" w:type="dxa"/>
              <w:bottom w:w="75" w:type="dxa"/>
              <w:right w:w="75" w:type="dxa"/>
            </w:tcMar>
          </w:tcPr>
          <w:p w14:paraId="52D5A2D2" w14:textId="77777777" w:rsidR="004256E5" w:rsidRDefault="004256E5" w:rsidP="00544892">
            <w:pPr>
              <w:spacing w:after="240"/>
              <w:rPr>
                <w:b/>
              </w:rPr>
            </w:pPr>
            <w:r>
              <w:rPr>
                <w:b/>
              </w:rPr>
              <w:t>Iebildums (Sabiedrība ar ierobežotu atbildību "Cyber Audit" - 08.04.2025.)</w:t>
            </w:r>
          </w:p>
          <w:p w14:paraId="68D44288" w14:textId="77777777" w:rsidR="004256E5" w:rsidRDefault="004256E5" w:rsidP="00544892">
            <w:r>
              <w:t>Iepriekšējā MK noteikumu versija, kas tika publicēta 2025.gada 24.janvārī, iekļāva šādu redakciju “Minētais ierobežojums nav attiecināms, ja visi minētie būtisko pakalpojumu sniedzēji ir publiskās personas institūcijas, un tas nav pretrunā ar normatīvajiem aktiem par amatu savienošanu.”</w:t>
            </w:r>
          </w:p>
          <w:p w14:paraId="320938FE" w14:textId="77777777" w:rsidR="004256E5" w:rsidRDefault="004256E5" w:rsidP="00544892"/>
          <w:p w14:paraId="26DC3D18" w14:textId="77777777" w:rsidR="004256E5" w:rsidRDefault="004256E5" w:rsidP="00544892">
            <w:r>
              <w:t xml:space="preserve">Mēs saprotam, ka, veicot papildinājumus šajā punktā, augstāk minētais nosacījumus ir nejauši vai neapzināti izņemts. Lūdzam, Noteikumu 19.punktu papildināt arī ar iepriekšējo nosacījumu: “Minētais ierobežojums nav attiecināms, ja visi minētie būtisko pakalpojumu sniedzēji ir publiskās personas </w:t>
            </w:r>
            <w:r>
              <w:lastRenderedPageBreak/>
              <w:t>institūcijas, un tas nav pretrunā ar normatīvajiem aktiem par amatu savienošanu”.</w:t>
            </w:r>
          </w:p>
          <w:p w14:paraId="6A208CDF" w14:textId="77777777" w:rsidR="004256E5" w:rsidRDefault="004256E5" w:rsidP="00544892"/>
          <w:p w14:paraId="7DC927F7" w14:textId="77777777" w:rsidR="004256E5" w:rsidRDefault="004256E5" w:rsidP="00544892">
            <w:r>
              <w:t>Informējam, ka, ja augstāk minētais nosacījums ir apzināti izņemts, tad šādas prasības noteikšana, mūsuprāt, būtu pārmērīga, limitējot kiberdrošības pārvaldnieka darbietilpību. Tā piemēram, tiešās pārvaldes iestādēs tādās kā mākslu izglītības kompetences centros, mākslas skolās, mūzikas skolās, vidusskolās, tehnikumos, muzejos, bibliotēkās, kuros bieži vien darbinieku skaits nepārsniedz 50 darbiniekus un tās savā būtībā tās nav salīdzināmas ar “vidēju” vai “lielu” uzņēmumu, augstāk minētā prasība būtiski samazinās kiberdrošības pārvaldnieku pieejamību tirgū, kas attiecīgi būtiski paaugstinās valsts un pašvaldību iestāžu, un valsts kapitālsabiedrību izmaksas Kiberdrošības pārvaldnieka nodrošināšanai.</w:t>
            </w:r>
          </w:p>
          <w:p w14:paraId="290F3095" w14:textId="77777777" w:rsidR="004256E5" w:rsidRDefault="004256E5" w:rsidP="00544892">
            <w:r>
              <w:t> </w:t>
            </w:r>
          </w:p>
          <w:p w14:paraId="46C795BA" w14:textId="77777777" w:rsidR="004256E5" w:rsidRDefault="004256E5" w:rsidP="00544892">
            <w:pPr>
              <w:spacing w:before="240" w:after="240"/>
              <w:rPr>
                <w:i/>
              </w:rPr>
            </w:pPr>
            <w:r>
              <w:rPr>
                <w:i/>
              </w:rPr>
              <w:lastRenderedPageBreak/>
              <w:t>Piedāvātā redakcija</w:t>
            </w:r>
          </w:p>
          <w:p w14:paraId="71C7D2FD" w14:textId="77777777" w:rsidR="004256E5" w:rsidRDefault="004256E5" w:rsidP="00544892">
            <w:r>
              <w:t>Lūdzam, Noteikumu 19.punktu papildināt arī ar iepriekšējo nosacījumu: “Minētais ierobežojums nav attiecināms, ja visi minētie būtisko pakalpojumu sniedzēji ir publiskās personas institūcijas, un tas nav pretrunā ar normatīvajiem aktiem par amatu savienošanu”.</w:t>
            </w:r>
          </w:p>
        </w:tc>
        <w:tc>
          <w:tcPr>
            <w:tcW w:w="3388" w:type="dxa"/>
            <w:shd w:val="clear" w:color="auto" w:fill="FFFFFF"/>
            <w:noWrap/>
            <w:tcMar>
              <w:top w:w="75" w:type="dxa"/>
              <w:left w:w="75" w:type="dxa"/>
              <w:bottom w:w="75" w:type="dxa"/>
              <w:right w:w="75" w:type="dxa"/>
            </w:tcMar>
          </w:tcPr>
          <w:p w14:paraId="19F62C9F" w14:textId="77777777" w:rsidR="004256E5" w:rsidRDefault="004256E5" w:rsidP="00544892">
            <w:pPr>
              <w:spacing w:after="240"/>
              <w:rPr>
                <w:b/>
              </w:rPr>
            </w:pPr>
            <w:r>
              <w:rPr>
                <w:b/>
              </w:rPr>
              <w:lastRenderedPageBreak/>
              <w:t>Nav ņemts vērā</w:t>
            </w:r>
          </w:p>
          <w:p w14:paraId="141A9B38" w14:textId="77777777" w:rsidR="004256E5" w:rsidRDefault="004256E5" w:rsidP="00544892">
            <w:r>
              <w:t>Iepriekšējā redakcija ir mainīta, jo ņemti vērā citu institūciju iebildumi. Vēršam uzmanību, ka piedāvātā 19. punkta redakcija paredz, ka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p w14:paraId="60107978" w14:textId="77777777" w:rsidR="004256E5" w:rsidRDefault="004256E5" w:rsidP="00544892">
            <w:r>
              <w:t xml:space="preserve">Attiecīgi, tas nozīmē, ka tiešās pārvaldes iestādē noteiktais kiberdrošības pārvaldnieks var pildīt konkrētās iestādes </w:t>
            </w:r>
            <w:r>
              <w:lastRenderedPageBreak/>
              <w:t>padotības iestāžu kiberdrošības pārvaldnieku pienākumus.</w:t>
            </w:r>
            <w:r w:rsidR="0036640D">
              <w:t xml:space="preserve"> </w:t>
            </w:r>
          </w:p>
          <w:p w14:paraId="327E21B1" w14:textId="14A24270" w:rsidR="007046C5" w:rsidRDefault="007046C5" w:rsidP="00544892">
            <w:r>
              <w:t>Šobrīd ir nodrošināta ļoti plaša elastība attiecībā uz kiberdrošības pārvaldnieku noteikšanu.</w:t>
            </w:r>
          </w:p>
          <w:p w14:paraId="5BC16372" w14:textId="198DD238" w:rsidR="0036640D" w:rsidRDefault="0036640D" w:rsidP="00544892"/>
        </w:tc>
        <w:tc>
          <w:tcPr>
            <w:tcW w:w="3388" w:type="dxa"/>
            <w:shd w:val="clear" w:color="auto" w:fill="FFFFFF"/>
            <w:noWrap/>
            <w:tcMar>
              <w:top w:w="75" w:type="dxa"/>
              <w:left w:w="75" w:type="dxa"/>
              <w:bottom w:w="75" w:type="dxa"/>
              <w:right w:w="75" w:type="dxa"/>
            </w:tcMar>
          </w:tcPr>
          <w:p w14:paraId="2510FDC8" w14:textId="56E82F94" w:rsidR="004256E5" w:rsidRPr="007046C5" w:rsidRDefault="004256E5" w:rsidP="00544892">
            <w:r w:rsidRPr="007046C5">
              <w:lastRenderedPageBreak/>
              <w:t>19. Šo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kuru attiecīgais būtisko pakalpojumu sniedzējs ir deleģējis pildīt valsts pārvaldes uzdevumu.</w:t>
            </w:r>
          </w:p>
          <w:p w14:paraId="2476332F" w14:textId="6596538F" w:rsidR="00066E4A" w:rsidRPr="007046C5" w:rsidRDefault="00066E4A" w:rsidP="00544892"/>
          <w:p w14:paraId="17E4B4AE" w14:textId="5DF8D617" w:rsidR="004256E5" w:rsidRPr="007046C5" w:rsidRDefault="004256E5" w:rsidP="00544892"/>
        </w:tc>
      </w:tr>
      <w:tr w:rsidR="004256E5" w14:paraId="150B4E7A" w14:textId="77777777" w:rsidTr="00544892">
        <w:tc>
          <w:tcPr>
            <w:tcW w:w="1015" w:type="dxa"/>
            <w:shd w:val="clear" w:color="auto" w:fill="FFFFFF"/>
            <w:noWrap/>
            <w:tcMar>
              <w:top w:w="75" w:type="dxa"/>
              <w:left w:w="75" w:type="dxa"/>
              <w:bottom w:w="75" w:type="dxa"/>
              <w:right w:w="75" w:type="dxa"/>
            </w:tcMar>
          </w:tcPr>
          <w:p w14:paraId="2291E28A" w14:textId="77777777" w:rsidR="004256E5" w:rsidRDefault="004256E5" w:rsidP="00544892">
            <w:r>
              <w:lastRenderedPageBreak/>
              <w:t>111.</w:t>
            </w:r>
          </w:p>
        </w:tc>
        <w:tc>
          <w:tcPr>
            <w:tcW w:w="3388" w:type="dxa"/>
            <w:shd w:val="clear" w:color="auto" w:fill="FFFFFF"/>
            <w:noWrap/>
            <w:tcMar>
              <w:top w:w="75" w:type="dxa"/>
              <w:left w:w="75" w:type="dxa"/>
              <w:bottom w:w="75" w:type="dxa"/>
              <w:right w:w="75" w:type="dxa"/>
            </w:tcMar>
          </w:tcPr>
          <w:p w14:paraId="51AC9AA1" w14:textId="77777777" w:rsidR="004256E5" w:rsidRDefault="004256E5" w:rsidP="00544892">
            <w:pPr>
              <w:spacing w:after="240"/>
              <w:rPr>
                <w:b/>
              </w:rPr>
            </w:pPr>
            <w:r>
              <w:rPr>
                <w:b/>
              </w:rPr>
              <w:t>Noteikumu projekts</w:t>
            </w:r>
          </w:p>
          <w:p w14:paraId="65B4EBCD" w14:textId="77777777" w:rsidR="004256E5" w:rsidRDefault="004256E5" w:rsidP="00544892">
            <w:r>
              <w:t>29. Kiberdrošības politikā iekļauj:</w:t>
            </w:r>
          </w:p>
        </w:tc>
        <w:tc>
          <w:tcPr>
            <w:tcW w:w="3388" w:type="dxa"/>
            <w:shd w:val="clear" w:color="auto" w:fill="FFFFFF"/>
            <w:noWrap/>
            <w:tcMar>
              <w:top w:w="75" w:type="dxa"/>
              <w:left w:w="75" w:type="dxa"/>
              <w:bottom w:w="75" w:type="dxa"/>
              <w:right w:w="75" w:type="dxa"/>
            </w:tcMar>
          </w:tcPr>
          <w:p w14:paraId="68C70517" w14:textId="77777777" w:rsidR="004256E5" w:rsidRDefault="004256E5" w:rsidP="00544892">
            <w:pPr>
              <w:spacing w:after="240"/>
              <w:rPr>
                <w:b/>
              </w:rPr>
            </w:pPr>
            <w:r>
              <w:rPr>
                <w:b/>
              </w:rPr>
              <w:t>Iebildums (Conexus - 08.04.2025.)</w:t>
            </w:r>
          </w:p>
          <w:p w14:paraId="361B3998" w14:textId="77777777" w:rsidR="004256E5" w:rsidRDefault="004256E5" w:rsidP="00544892">
            <w:r>
              <w:t xml:space="preserve">Noteikumu projekta 29. punktā noteiktās prasības attiecībā uz kiberdrošības politikas sastāvdaļām ir pārmērīgas un pēc būtības noteic pienākumu politikā pārrakstīt ārējos un citus iekšējos normatīvos aktus, kas neatbilst labajai praksei (t.sk. Valsts kancelejas izstrādātajā Normatīvo aktu projektu izstrādes rokasgrāmatā noteiktajam, kas gan nav piemērojama iekšējo normatīvo aktu sagatavošanā, tomēr būtu ņemama vērā kā vadlīnijas). Noteikumu projekta 29.1. apakšpunktā noteiktais pienākums iekļaut kiberdrošības </w:t>
            </w:r>
            <w:r>
              <w:lastRenderedPageBreak/>
              <w:t xml:space="preserve">politikā “vispārīgu informāciju par subjektu, tā darbības jomu” mūsu gadījumā nozīmētu pārrakstīt atsevišķus statūtu punktus, savukārt 29.5. apakšpunktā noteiktais pienākums iekļaut “informāciju par Nacionālās kiberdrošības likuma, šo noteikumu un citu subjektam saistošo normatīvo aktu prasībām kiberdrošības jomā” – pārrakstīt ārējo normatīvo aktu prasības. Turklāt noteikumu projekta 29.4. apakšpunktā noteikts, ka politikā iekļaujama informācija par nozīmīgākajiem kiberapdraudējumu veidiem, kas pēc būtības atbilst kiberrisku pārvaldības un IKT darbības nepārtrauktības plānā iekļaujamai informācijai (noteikumu projekta 41.1. apakšpunkts). Ņemot vērā, ka politika kā jumta dokuments praksē ir pieejama visiem darbiniekiem, lūdzam izvērtēt, vai tajā būtu iekļaujama šāda detalizēta informācija attiecībā nozīmīgākajiem kiberapdraudējumu veidiem. Ierosinām precizēt šos noteikumu projekta punktus, izņemot </w:t>
            </w:r>
            <w:r>
              <w:lastRenderedPageBreak/>
              <w:t>pienākumu politikā iekļaut vispārīgu informāciju par subjektu (29.1. apakšpunkts), nozīmīgākajiem kiberapdraudējumu veidiem (29.4. apakšpunkts) un precizējot 29.5. apakšpunktā minēto, nosakot, ka kiberdrošības politikā iekļaujama tikai atsauce (piemēram, politikas preambulā) uz ārējiem normatīvajiem aktiem un standartiem, kas attiecināmi uz subjekta īpašumā un valdījumā esošajiem IKT resursiem un informācijas sistēmām.</w:t>
            </w:r>
          </w:p>
          <w:p w14:paraId="4D7D47D2" w14:textId="77777777" w:rsidR="004256E5" w:rsidRDefault="004256E5" w:rsidP="00544892"/>
          <w:p w14:paraId="5A3927B1" w14:textId="77777777" w:rsidR="004256E5" w:rsidRDefault="004256E5" w:rsidP="00544892">
            <w:r>
              <w:t xml:space="preserve">Papildus vēršam uzmanību uz noteikumu projekta 29.3. apakšpunktā noteikto pienākumu kiberdrošības politikā sniegt informāciju par kiberdrošības pārvaldības struktūru, atbildīgo personu un struktūrvienību funkcijām un pienākumiem kiberdrošības jomā. Norādām, ka pārvaldības struktūra, struktūrvienību funkcijas un atbildīgo personu pienākumi tiek noteikti zemāka līmeņa iekšējos dokumentos (struktūrvienību nolikumos, darbinieku amatu aprakstos) un to iekļaušana </w:t>
            </w:r>
            <w:r>
              <w:lastRenderedPageBreak/>
              <w:t>politikas (jumta) līmeņa stratēģiskā dokumentā būtu nelietderīga un radītu nevajadzīgus sarežģījumus piemērošanā un atjaunošanā. Ņemot vērā, ka politikas līmeņa dokumenti parasti tiek apstiprināti augstākās pārvaldības institūcijās (valdē vai, kur tāda izveidota, padomē), savukārt struktūrvienību nolikumu un darbinieku amatu aprakstu apstiprināšana efektivizācijas un administratīvā sloga mazināšanas dēļ parasti ir deleģēta atbildīgajam valdes loceklim, šie dokumenti attiecīgi ir “elastīgāki” un var tikt pārskatīti biežāk atkarībā no nepieciešamības. Tādējādi šādu jautājumu dublēšana politikas līmeņa dokumentā ilgtermiņā radītu neatbilstības un/vai nepieciešamību politikas dokumentu pārskatīt biežāk kā praksē pieņemts. Ievērojot minēto, ierosinām pilnībā dzēst 29.3. apakšpunktu.</w:t>
            </w:r>
          </w:p>
          <w:p w14:paraId="5DB49A6C" w14:textId="77777777" w:rsidR="004256E5" w:rsidRDefault="004256E5" w:rsidP="00544892">
            <w:r>
              <w:t> </w:t>
            </w:r>
          </w:p>
          <w:p w14:paraId="74951B5D" w14:textId="77777777" w:rsidR="004256E5" w:rsidRDefault="004256E5" w:rsidP="00544892">
            <w:pPr>
              <w:spacing w:before="240" w:after="240"/>
              <w:rPr>
                <w:i/>
              </w:rPr>
            </w:pPr>
            <w:r>
              <w:rPr>
                <w:i/>
              </w:rPr>
              <w:t>Piedāvātā redakcija</w:t>
            </w:r>
          </w:p>
          <w:p w14:paraId="1747C1D6" w14:textId="77777777" w:rsidR="004256E5" w:rsidRDefault="004256E5" w:rsidP="00544892">
            <w:r>
              <w:lastRenderedPageBreak/>
              <w:t>Izņemt pienākumu politikā iekļaut vispārīgu informāciju par subjektu (29.1. apakšpunkts), nozīmīgākajiem kiberapdraudējumu veidiem (29.4. apakšpunkts), precizēt 29.5. apakšpunktā minēto, nosakot, ka kiberdrošības politikā iekļaujama tikai atsauce (piemēram, politikas preambulā) uz ārējiem normatīvajiem aktiem un standartiem, kas attiecināmi uz subjekta īpašumā un valdījumā esošajiem IKT resursiem un informācijas sistēmām, kā arī pilnībā dzēst 29.3. apakšpunktu.</w:t>
            </w:r>
          </w:p>
        </w:tc>
        <w:tc>
          <w:tcPr>
            <w:tcW w:w="3388" w:type="dxa"/>
            <w:shd w:val="clear" w:color="auto" w:fill="FFFFFF"/>
            <w:noWrap/>
            <w:tcMar>
              <w:top w:w="75" w:type="dxa"/>
              <w:left w:w="75" w:type="dxa"/>
              <w:bottom w:w="75" w:type="dxa"/>
              <w:right w:w="75" w:type="dxa"/>
            </w:tcMar>
          </w:tcPr>
          <w:p w14:paraId="36E3FCBE" w14:textId="77777777" w:rsidR="004256E5" w:rsidRDefault="004256E5" w:rsidP="00544892">
            <w:pPr>
              <w:spacing w:after="240"/>
              <w:rPr>
                <w:b/>
              </w:rPr>
            </w:pPr>
            <w:r>
              <w:rPr>
                <w:b/>
              </w:rPr>
              <w:lastRenderedPageBreak/>
              <w:t>Nav ņemts vērā</w:t>
            </w:r>
          </w:p>
          <w:p w14:paraId="3CB05103" w14:textId="0AC4BD99" w:rsidR="004256E5" w:rsidRDefault="00B67B89" w:rsidP="00544892">
            <w:r>
              <w:t>Minētais iebildums ir ticis saņemts pēdējā saskaņošanas kārtā un š</w:t>
            </w:r>
            <w:r w:rsidR="004256E5">
              <w:t>ajā saskaņošanas posmā nav plānots mainīt to, kas tiek iekļauts kiberdrošības politikas tvērumā.</w:t>
            </w:r>
          </w:p>
          <w:p w14:paraId="38AA4770" w14:textId="778357A5" w:rsidR="00B67B89" w:rsidRDefault="00B67B89" w:rsidP="00544892"/>
          <w:p w14:paraId="04C64B7B" w14:textId="5E94EB36" w:rsidR="00B67B89" w:rsidRDefault="00B67B89" w:rsidP="00544892">
            <w:r>
              <w:t xml:space="preserve">Minētā norma neprasa pārrakstīt iekšējos un ārējos normatīvos aktus. Ar vārdu “iekļauj” var saprast, ka pietiek ar norādi. </w:t>
            </w:r>
          </w:p>
          <w:p w14:paraId="12106C7C" w14:textId="75BC7DC1" w:rsidR="00B67B89" w:rsidRDefault="00B67B89" w:rsidP="00544892">
            <w:r>
              <w:t xml:space="preserve">Normatīvie akti tiek veidoti vispārīgi un nevar tikt veidoti katram konkrētam subjektam. Turklāt veidojot konkrēta uzņēmuma kiberdrošības politiku, uzņēmumam būs pienākums apzināt tās savas </w:t>
            </w:r>
            <w:r>
              <w:lastRenderedPageBreak/>
              <w:t xml:space="preserve">darbības jomas, kas var tikt pakļautas kiberapdraudējuma, kādi normatīvie akti uz uzņēmumu ir attiecināmi. Dokumentā iekļaujamās informācijas detalizācijas pakāpi nosaka pats uzņēmums. </w:t>
            </w:r>
          </w:p>
          <w:p w14:paraId="2955F376" w14:textId="76705599" w:rsidR="00066E4A" w:rsidRDefault="00B67B89" w:rsidP="00544892">
            <w:r>
              <w:t>Tāpat tas, kur un kā tiek apstiprināti konkrētā komersanta politikas un citi dokumenti, ir katra komersanta ziņā. Normatīvais akts šos jautājumus neregulē.</w:t>
            </w:r>
          </w:p>
          <w:p w14:paraId="4E90CC50" w14:textId="23FAEB1C" w:rsidR="00B67B89" w:rsidRDefault="00B67B89" w:rsidP="00544892"/>
          <w:p w14:paraId="6C1A670A" w14:textId="389ED6F7" w:rsidR="00B67B89" w:rsidRDefault="00B67B89" w:rsidP="00544892">
            <w:r>
              <w:t>Noteikumu projekta 29. punktā ir noteikts, kas ir iekļaujams subjekta kiberdrošības politikā. Norma ir pietiekami vispārīga. Un tās mērķis ir, lai veidojot šo subjekta politiku, subjekts apzinātos savu kiberdrošību.</w:t>
            </w:r>
          </w:p>
          <w:p w14:paraId="2D2002F7" w14:textId="77777777" w:rsidR="00066E4A" w:rsidRDefault="00066E4A" w:rsidP="00544892"/>
          <w:p w14:paraId="6363E23B" w14:textId="3BC91B10" w:rsidR="00066E4A" w:rsidRDefault="00066E4A" w:rsidP="00544892"/>
        </w:tc>
        <w:tc>
          <w:tcPr>
            <w:tcW w:w="3388" w:type="dxa"/>
            <w:shd w:val="clear" w:color="auto" w:fill="FFFFFF"/>
            <w:noWrap/>
            <w:tcMar>
              <w:top w:w="75" w:type="dxa"/>
              <w:left w:w="75" w:type="dxa"/>
              <w:bottom w:w="75" w:type="dxa"/>
              <w:right w:w="75" w:type="dxa"/>
            </w:tcMar>
          </w:tcPr>
          <w:p w14:paraId="09EAF024" w14:textId="77777777" w:rsidR="004256E5" w:rsidRDefault="004256E5" w:rsidP="00544892">
            <w:r>
              <w:lastRenderedPageBreak/>
              <w:t>29. Kiberdrošības politikā iekļauj:</w:t>
            </w:r>
          </w:p>
        </w:tc>
      </w:tr>
      <w:tr w:rsidR="004256E5" w14:paraId="32E6EE83" w14:textId="77777777" w:rsidTr="00544892">
        <w:tc>
          <w:tcPr>
            <w:tcW w:w="1015" w:type="dxa"/>
            <w:shd w:val="clear" w:color="auto" w:fill="FFFFFF"/>
            <w:noWrap/>
            <w:tcMar>
              <w:top w:w="75" w:type="dxa"/>
              <w:left w:w="75" w:type="dxa"/>
              <w:bottom w:w="75" w:type="dxa"/>
              <w:right w:w="75" w:type="dxa"/>
            </w:tcMar>
          </w:tcPr>
          <w:p w14:paraId="55AFC60B" w14:textId="77777777" w:rsidR="004256E5" w:rsidRDefault="004256E5" w:rsidP="00544892">
            <w:r>
              <w:lastRenderedPageBreak/>
              <w:t>155.</w:t>
            </w:r>
          </w:p>
        </w:tc>
        <w:tc>
          <w:tcPr>
            <w:tcW w:w="3388" w:type="dxa"/>
            <w:shd w:val="clear" w:color="auto" w:fill="FFFFFF"/>
            <w:noWrap/>
            <w:tcMar>
              <w:top w:w="75" w:type="dxa"/>
              <w:left w:w="75" w:type="dxa"/>
              <w:bottom w:w="75" w:type="dxa"/>
              <w:right w:w="75" w:type="dxa"/>
            </w:tcMar>
          </w:tcPr>
          <w:p w14:paraId="534D7660" w14:textId="77777777" w:rsidR="004256E5" w:rsidRDefault="004256E5" w:rsidP="00544892">
            <w:pPr>
              <w:spacing w:after="240"/>
              <w:rPr>
                <w:b/>
              </w:rPr>
            </w:pPr>
            <w:r>
              <w:rPr>
                <w:b/>
              </w:rPr>
              <w:t>Noteikumu projekts</w:t>
            </w:r>
          </w:p>
          <w:p w14:paraId="5DC32DAB" w14:textId="77777777" w:rsidR="004256E5" w:rsidRDefault="004256E5" w:rsidP="00544892">
            <w:r>
              <w:t>48. Kiberincidentu žurnālā iekļauj vismaz šādu informāciju par kiberincidentiem:</w:t>
            </w:r>
          </w:p>
        </w:tc>
        <w:tc>
          <w:tcPr>
            <w:tcW w:w="3388" w:type="dxa"/>
            <w:shd w:val="clear" w:color="auto" w:fill="FFFFFF"/>
            <w:noWrap/>
            <w:tcMar>
              <w:top w:w="75" w:type="dxa"/>
              <w:left w:w="75" w:type="dxa"/>
              <w:bottom w:w="75" w:type="dxa"/>
              <w:right w:w="75" w:type="dxa"/>
            </w:tcMar>
          </w:tcPr>
          <w:p w14:paraId="23BBEF6F" w14:textId="77777777" w:rsidR="004256E5" w:rsidRDefault="004256E5" w:rsidP="00544892">
            <w:pPr>
              <w:spacing w:after="240"/>
              <w:rPr>
                <w:b/>
              </w:rPr>
            </w:pPr>
            <w:r>
              <w:rPr>
                <w:b/>
              </w:rPr>
              <w:t>Iebildums (Conexus - 08.04.2025.)</w:t>
            </w:r>
          </w:p>
          <w:p w14:paraId="7BDD47E4" w14:textId="77777777" w:rsidR="004256E5" w:rsidRDefault="004256E5" w:rsidP="00544892">
            <w:r>
              <w:t xml:space="preserve">Noteikumu projekta 48. punktā minētās prasības attiecībā uz kiberincidentu žurnālu ir neelastīgas un apgrūtinās automatizāciju. Eiropas Parlamenta un Padomes direktīvas (ES) 2022/2555 (2022. gada 14. decembris), ar ko paredz pasākumus nolūkā panākt vienādi augstu kiberdrošības līmeni visā Savienībā un ar ko groza Regulu (ES) Nr. 910/2014 un Direktīvu </w:t>
            </w:r>
            <w:r>
              <w:lastRenderedPageBreak/>
              <w:t xml:space="preserve">(ES) 2018/1972 un atceļ Direktīvu (ES) 2016/1148 (turpmāk – NIS2) 51. apsvērumā cita starpā minēts aicinājums dalībvalstīm veicināt tādu tehnoloģiju izmantošanu, kas saistītas ar automatizētiem vai pusautomatizētiem kiberdrošības rīkiem. Vēršam uzmanību, ka tirgū pieejamie un Kiberdrošības likuma subjektu ieviestie SIEM risinājumi jau šobrīd ļauj (pus)automatizēti reģistrēt kiberincidentus. Noteikumu projekta 48. punkta prasību ieviešana praksē nozīmētu atteikšanos no šīs automatizācijas, ieviesto risinājumu pielāgošanu (kas attiecīgi prasīs papildu resursus, kas nav plānoti šī gada budžetā), kiberincidentu manuālu apstrādi vai dubultu reģistrēšanu atsevišķā, noteikumu projektam atbilstošā reģistrā (kas savukārt būtu nelietderīgi un neefektīvi). Ievērojot minēto, lūdzam vēlreiz izvērtēt 48. punktā minētās prasības, kā minimums 48.2. punktā un 6. pielikumā ietvertās tipoloģijas vietā paredzot iespēju izmantot citu </w:t>
            </w:r>
            <w:r>
              <w:lastRenderedPageBreak/>
              <w:t>starptautiski atzītu tipoloģiju, ja Kiberdrošības likuma subjekts izmanto automatizētu kiberincidentu reģistrēšanas risinājumu, kurā iestrādātā tipoloģija atšķiras no noteikumu projekta 6. pielikumā noteiktās</w:t>
            </w:r>
          </w:p>
          <w:p w14:paraId="731BFC79" w14:textId="77777777" w:rsidR="004256E5" w:rsidRDefault="004256E5" w:rsidP="00544892"/>
          <w:p w14:paraId="13B19789" w14:textId="77777777" w:rsidR="004256E5" w:rsidRDefault="004256E5" w:rsidP="00544892">
            <w:r>
              <w:t>Ja tomēr nav izskatāma iespēja ļaut Kiberdrošības likuma subjektiem kiberdrošības incidentu reģistrēšanai izmantot jau iegādātos risinājumus bez to pielāgošanas un attiecīgi nepieciešams ieviest atsevišķu (papildu) kiberincidentu žurnālu, ierosinām precizēt noteikumu projekta 48. punktu, nosakot samērīgākas prasības, t.i., ka kiberincidentu žurnālā reģistrējami visi kiberincidenti un tikai tādi gandrīz notikuši kiberincidenti, kuru iespējamā ietekme atbilstoši subjekta izmantotajai metodikai novērtējama kā augsta. Tādā veidā būtu iespējams nodrošināt noteikumu projekta prasības attiecībā uz kiberincidentu žurnāliem bez pārmērīga administratīvā sloga</w:t>
            </w:r>
          </w:p>
          <w:p w14:paraId="1F0F13B3" w14:textId="77777777" w:rsidR="004256E5" w:rsidRDefault="004256E5" w:rsidP="00544892">
            <w:pPr>
              <w:spacing w:before="240" w:after="240"/>
              <w:rPr>
                <w:i/>
              </w:rPr>
            </w:pPr>
            <w:r>
              <w:rPr>
                <w:i/>
              </w:rPr>
              <w:lastRenderedPageBreak/>
              <w:t>Piedāvātā redakcija</w:t>
            </w:r>
          </w:p>
          <w:p w14:paraId="207384F5" w14:textId="77777777" w:rsidR="004256E5" w:rsidRDefault="004256E5" w:rsidP="00544892">
            <w:r>
              <w:t>Kiberincidentu žurnālā iekļauj vismaz šādu informāciju par kiberincidentiem un gandrīz notikušiem kiberincidentiem, kuru iespējamā ietekme atbilstoši subjekta izmantotajai metodikai novērtējama kā augsta:</w:t>
            </w:r>
          </w:p>
        </w:tc>
        <w:tc>
          <w:tcPr>
            <w:tcW w:w="3388" w:type="dxa"/>
            <w:shd w:val="clear" w:color="auto" w:fill="FFFFFF"/>
            <w:noWrap/>
            <w:tcMar>
              <w:top w:w="75" w:type="dxa"/>
              <w:left w:w="75" w:type="dxa"/>
              <w:bottom w:w="75" w:type="dxa"/>
              <w:right w:w="75" w:type="dxa"/>
            </w:tcMar>
          </w:tcPr>
          <w:p w14:paraId="0AC0770F" w14:textId="77777777" w:rsidR="004256E5" w:rsidRDefault="004256E5" w:rsidP="00544892">
            <w:pPr>
              <w:spacing w:after="240"/>
              <w:rPr>
                <w:b/>
              </w:rPr>
            </w:pPr>
            <w:r>
              <w:rPr>
                <w:b/>
              </w:rPr>
              <w:lastRenderedPageBreak/>
              <w:t>Nav ņemts vērā</w:t>
            </w:r>
          </w:p>
          <w:p w14:paraId="47098A2D" w14:textId="40A9999F" w:rsidR="004256E5" w:rsidRDefault="004256E5" w:rsidP="00544892">
            <w:r>
              <w:t>Vēršam uzmanību uz to, ka noteikumu projekta 48. punktā nav runa par kiberincidentu žurnālā uzturēšanas formu. Subjekts pats var izvēlēties, vai šo automatizēt vai citādi nodrošināt.</w:t>
            </w:r>
          </w:p>
          <w:p w14:paraId="45774513" w14:textId="0BA1BB5A" w:rsidR="00B67B89" w:rsidRDefault="00B67B89" w:rsidP="00544892"/>
          <w:p w14:paraId="569D302E" w14:textId="70B3FF24" w:rsidR="00B67B89" w:rsidRDefault="00B67B89" w:rsidP="00544892">
            <w:r>
              <w:t>Vēršam uzmanību uz to, ka Conexus nav vienīgais subjekts, kam ir saistošas noteikumu projektā ietvertās prasības, līdz ar to normatīvais akts ir pietiekami vispārīgs.</w:t>
            </w:r>
          </w:p>
          <w:p w14:paraId="444FF3D3" w14:textId="591C0DB3" w:rsidR="00B67B89" w:rsidRDefault="00B67B89" w:rsidP="00544892">
            <w:r>
              <w:lastRenderedPageBreak/>
              <w:t>Piedāvāta noteikumu projekta 48. punktā ietvertā redakcija neliedz konkrētā komersantam izvēlēties automatizētā veidā uzturēt kiberincidentu žurnālu.</w:t>
            </w:r>
          </w:p>
          <w:p w14:paraId="213B73F3" w14:textId="77777777" w:rsidR="00C16CFC" w:rsidRDefault="00C16CFC" w:rsidP="00544892"/>
          <w:p w14:paraId="14A43BF1" w14:textId="2446705C" w:rsidR="00C16CFC" w:rsidRDefault="00C16CFC" w:rsidP="00544892"/>
        </w:tc>
        <w:tc>
          <w:tcPr>
            <w:tcW w:w="3388" w:type="dxa"/>
            <w:shd w:val="clear" w:color="auto" w:fill="FFFFFF"/>
            <w:noWrap/>
            <w:tcMar>
              <w:top w:w="75" w:type="dxa"/>
              <w:left w:w="75" w:type="dxa"/>
              <w:bottom w:w="75" w:type="dxa"/>
              <w:right w:w="75" w:type="dxa"/>
            </w:tcMar>
          </w:tcPr>
          <w:p w14:paraId="7B9C3695" w14:textId="77777777" w:rsidR="004256E5" w:rsidRDefault="004256E5" w:rsidP="00544892">
            <w:r>
              <w:lastRenderedPageBreak/>
              <w:t>48. Kiberincidentu žurnālā iekļauj vismaz šādu informāciju par kiberincidentiem:</w:t>
            </w:r>
          </w:p>
        </w:tc>
      </w:tr>
      <w:tr w:rsidR="004256E5" w14:paraId="3952A2FD" w14:textId="77777777" w:rsidTr="00544892">
        <w:tc>
          <w:tcPr>
            <w:tcW w:w="1015" w:type="dxa"/>
            <w:shd w:val="clear" w:color="auto" w:fill="FFFFFF"/>
            <w:noWrap/>
            <w:tcMar>
              <w:top w:w="75" w:type="dxa"/>
              <w:left w:w="75" w:type="dxa"/>
              <w:bottom w:w="75" w:type="dxa"/>
              <w:right w:w="75" w:type="dxa"/>
            </w:tcMar>
          </w:tcPr>
          <w:p w14:paraId="6058DF25" w14:textId="77777777" w:rsidR="004256E5" w:rsidRDefault="004256E5" w:rsidP="00544892">
            <w:r>
              <w:lastRenderedPageBreak/>
              <w:t>169.</w:t>
            </w:r>
          </w:p>
        </w:tc>
        <w:tc>
          <w:tcPr>
            <w:tcW w:w="3388" w:type="dxa"/>
            <w:shd w:val="clear" w:color="auto" w:fill="FFFFFF"/>
            <w:noWrap/>
            <w:tcMar>
              <w:top w:w="75" w:type="dxa"/>
              <w:left w:w="75" w:type="dxa"/>
              <w:bottom w:w="75" w:type="dxa"/>
              <w:right w:w="75" w:type="dxa"/>
            </w:tcMar>
          </w:tcPr>
          <w:p w14:paraId="4C757A30" w14:textId="77777777" w:rsidR="004256E5" w:rsidRDefault="004256E5" w:rsidP="00544892">
            <w:pPr>
              <w:spacing w:after="240"/>
              <w:rPr>
                <w:b/>
              </w:rPr>
            </w:pPr>
            <w:r>
              <w:rPr>
                <w:b/>
              </w:rPr>
              <w:t>Noteikumu projekts</w:t>
            </w:r>
          </w:p>
          <w:p w14:paraId="51DD64EB" w14:textId="77777777" w:rsidR="004256E5" w:rsidRDefault="004256E5" w:rsidP="00544892">
            <w:r>
              <w:t>52.1. A klases informācijas sistēmas administratora lietotāja kontam un standarta lietotāja kontam;</w:t>
            </w:r>
          </w:p>
        </w:tc>
        <w:tc>
          <w:tcPr>
            <w:tcW w:w="3388" w:type="dxa"/>
            <w:shd w:val="clear" w:color="auto" w:fill="FFFFFF"/>
            <w:noWrap/>
            <w:tcMar>
              <w:top w:w="75" w:type="dxa"/>
              <w:left w:w="75" w:type="dxa"/>
              <w:bottom w:w="75" w:type="dxa"/>
              <w:right w:w="75" w:type="dxa"/>
            </w:tcMar>
          </w:tcPr>
          <w:p w14:paraId="35757146" w14:textId="77777777" w:rsidR="004256E5" w:rsidRDefault="004256E5" w:rsidP="00544892">
            <w:pPr>
              <w:spacing w:after="240"/>
              <w:rPr>
                <w:b/>
              </w:rPr>
            </w:pPr>
            <w:r>
              <w:rPr>
                <w:b/>
              </w:rPr>
              <w:t>Iebildums (LM - 09.04.2025.)</w:t>
            </w:r>
          </w:p>
          <w:p w14:paraId="75876577" w14:textId="77777777" w:rsidR="004256E5" w:rsidRDefault="004256E5" w:rsidP="00544892">
            <w:r>
              <w:t>52.1  Lai nodrošinātu daudzfaktoru autentifikācijas izmantošanu A klases informācijas sistēmas administratora lietotāja kontam un standarta lietotāja kontam arī piekļūstot no iestādes lokālā tīkla, vēsturiskajām sistēmām, kur šāda funkcionalitāte patlaban nav paredzēta, būs nepieciešami ievērojami finanšu ieguldījumi un jaunas funkcionalitātes ieviešana, kas nav realizējams Labklājības ministrijas un tās padotības iestāžu esošā budžeta ietvaros un 155. punktā noteiktajos termiņos.</w:t>
            </w:r>
          </w:p>
          <w:p w14:paraId="664C7AAB" w14:textId="77777777" w:rsidR="004256E5" w:rsidRDefault="004256E5" w:rsidP="00544892">
            <w:r>
              <w:t xml:space="preserve">Attiecīgi nepieciešams mainīt 155. punktā noteiktajos terminus prasības spēkā stāšanās laiku nosakot 2026. gada 1. aprīli vai </w:t>
            </w:r>
            <w:r>
              <w:lastRenderedPageBreak/>
              <w:t>izstrādāt pārejas noteikumus, kā arī papildināt anotācijas III sadaļu "budžets" iekļaujot informāciju par nepieciešamajiem papildus finanšu līdzekļiem 100 000 Eur bez PVN apmērā.</w:t>
            </w:r>
          </w:p>
          <w:p w14:paraId="1F0AD674" w14:textId="77777777" w:rsidR="004256E5" w:rsidRDefault="004256E5" w:rsidP="00544892">
            <w:r>
              <w:t> </w:t>
            </w:r>
          </w:p>
          <w:p w14:paraId="7DD1DBEE" w14:textId="77777777" w:rsidR="004256E5" w:rsidRDefault="004256E5" w:rsidP="00544892">
            <w:pPr>
              <w:spacing w:before="240" w:after="240"/>
              <w:rPr>
                <w:i/>
              </w:rPr>
            </w:pPr>
            <w:r>
              <w:rPr>
                <w:i/>
              </w:rPr>
              <w:t>Piedāvātā redakcija</w:t>
            </w:r>
          </w:p>
          <w:p w14:paraId="76EF37B6" w14:textId="77777777" w:rsidR="004256E5" w:rsidRDefault="004256E5" w:rsidP="00544892">
            <w:r>
              <w:t>-</w:t>
            </w:r>
          </w:p>
        </w:tc>
        <w:tc>
          <w:tcPr>
            <w:tcW w:w="3388" w:type="dxa"/>
            <w:shd w:val="clear" w:color="auto" w:fill="FFFFFF"/>
            <w:noWrap/>
            <w:tcMar>
              <w:top w:w="75" w:type="dxa"/>
              <w:left w:w="75" w:type="dxa"/>
              <w:bottom w:w="75" w:type="dxa"/>
              <w:right w:w="75" w:type="dxa"/>
            </w:tcMar>
          </w:tcPr>
          <w:p w14:paraId="523943DE" w14:textId="77777777" w:rsidR="004256E5" w:rsidRDefault="004256E5" w:rsidP="00544892">
            <w:pPr>
              <w:spacing w:after="240"/>
              <w:rPr>
                <w:b/>
              </w:rPr>
            </w:pPr>
            <w:r>
              <w:rPr>
                <w:b/>
              </w:rPr>
              <w:lastRenderedPageBreak/>
              <w:t>Nav ņemts vērā</w:t>
            </w:r>
          </w:p>
          <w:p w14:paraId="7B7F8DE0" w14:textId="77777777" w:rsidR="004256E5" w:rsidRDefault="004256E5" w:rsidP="00544892">
            <w:r>
              <w:t>Vēršam uzmanību uz to, ka noteikumu projekts nenosaka, kādu divfaktoru autentifikāciju subjektam izvēlēties, līdz ar to nav izprotams arguments par papildu ievērojamām izmaksām.</w:t>
            </w:r>
          </w:p>
          <w:p w14:paraId="79ED7423" w14:textId="4AD2A1FC" w:rsidR="008179AF" w:rsidRDefault="00B67B89" w:rsidP="00544892">
            <w:r>
              <w:t>Turklāt Finanšu ministrija starpinstitūciju saskaņošanas sanāksmē vērsa uzmanību uz to, ka noteikumu projekts ir realizējas iestāžu esošā budžeta ietvaros.</w:t>
            </w:r>
          </w:p>
        </w:tc>
        <w:tc>
          <w:tcPr>
            <w:tcW w:w="3388" w:type="dxa"/>
            <w:shd w:val="clear" w:color="auto" w:fill="FFFFFF"/>
            <w:noWrap/>
            <w:tcMar>
              <w:top w:w="75" w:type="dxa"/>
              <w:left w:w="75" w:type="dxa"/>
              <w:bottom w:w="75" w:type="dxa"/>
              <w:right w:w="75" w:type="dxa"/>
            </w:tcMar>
          </w:tcPr>
          <w:p w14:paraId="258D5069" w14:textId="77777777" w:rsidR="004256E5" w:rsidRDefault="004256E5" w:rsidP="00544892">
            <w:r>
              <w:t>52.1. A klases informācijas sistēmas administratora lietotāja kontam un standarta lietotāja kontam;</w:t>
            </w:r>
          </w:p>
        </w:tc>
      </w:tr>
      <w:tr w:rsidR="004256E5" w14:paraId="7227383B" w14:textId="77777777" w:rsidTr="00544892">
        <w:tc>
          <w:tcPr>
            <w:tcW w:w="1015" w:type="dxa"/>
            <w:shd w:val="clear" w:color="auto" w:fill="FFFFFF"/>
            <w:noWrap/>
            <w:tcMar>
              <w:top w:w="75" w:type="dxa"/>
              <w:left w:w="75" w:type="dxa"/>
              <w:bottom w:w="75" w:type="dxa"/>
              <w:right w:w="75" w:type="dxa"/>
            </w:tcMar>
          </w:tcPr>
          <w:p w14:paraId="303009A6" w14:textId="77777777" w:rsidR="004256E5" w:rsidRDefault="004256E5" w:rsidP="00544892">
            <w:r>
              <w:t>221.</w:t>
            </w:r>
          </w:p>
        </w:tc>
        <w:tc>
          <w:tcPr>
            <w:tcW w:w="3388" w:type="dxa"/>
            <w:shd w:val="clear" w:color="auto" w:fill="FFFFFF"/>
            <w:noWrap/>
            <w:tcMar>
              <w:top w:w="75" w:type="dxa"/>
              <w:left w:w="75" w:type="dxa"/>
              <w:bottom w:w="75" w:type="dxa"/>
              <w:right w:w="75" w:type="dxa"/>
            </w:tcMar>
          </w:tcPr>
          <w:p w14:paraId="3DEEF34F" w14:textId="77777777" w:rsidR="004256E5" w:rsidRDefault="004256E5" w:rsidP="00544892">
            <w:pPr>
              <w:spacing w:after="240"/>
              <w:rPr>
                <w:b/>
              </w:rPr>
            </w:pPr>
            <w:r>
              <w:rPr>
                <w:b/>
              </w:rPr>
              <w:t>Noteikumu projekts</w:t>
            </w:r>
          </w:p>
          <w:p w14:paraId="12F8EB8E" w14:textId="77777777" w:rsidR="004256E5" w:rsidRDefault="004256E5" w:rsidP="00544892">
            <w:r>
              <w:t>68.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tcW w:w="3388" w:type="dxa"/>
            <w:shd w:val="clear" w:color="auto" w:fill="FFFFFF"/>
            <w:noWrap/>
            <w:tcMar>
              <w:top w:w="75" w:type="dxa"/>
              <w:left w:w="75" w:type="dxa"/>
              <w:bottom w:w="75" w:type="dxa"/>
              <w:right w:w="75" w:type="dxa"/>
            </w:tcMar>
          </w:tcPr>
          <w:p w14:paraId="72714F7E" w14:textId="77777777" w:rsidR="004256E5" w:rsidRDefault="004256E5" w:rsidP="00544892">
            <w:pPr>
              <w:spacing w:after="240"/>
              <w:rPr>
                <w:b/>
              </w:rPr>
            </w:pPr>
            <w:r>
              <w:rPr>
                <w:b/>
              </w:rPr>
              <w:t>Iebildums (LM - 09.04.2025.)</w:t>
            </w:r>
          </w:p>
          <w:p w14:paraId="00039BB9" w14:textId="77777777" w:rsidR="004256E5" w:rsidRDefault="004256E5" w:rsidP="00544892">
            <w:r>
              <w:t>68.punkta prasība nosaka ka, veidojot rezerves kopijas, subjekts nodrošina, ka kopija satur visus nepieciešamos datus, lai varētu atjaunot informācijas sistēmas darbību pilnā apjomā uz to brīdi, kad tika izveidota rezerves kopija, tai skaitā informācijas sistēmā glabātos datus.</w:t>
            </w:r>
          </w:p>
          <w:p w14:paraId="2579C0EE" w14:textId="77777777" w:rsidR="004256E5" w:rsidRDefault="004256E5" w:rsidP="00544892"/>
          <w:p w14:paraId="4AEB3132" w14:textId="77777777" w:rsidR="004256E5" w:rsidRDefault="004256E5" w:rsidP="00544892">
            <w:r>
              <w:t xml:space="preserve">Ir saprotama prasība ietvert izpildāmo kodu, atbalsta programmatūru, automatizēto darbību skriptus, tehniskajos resursos regulāri veicamās darbības, operētājsistēmas uzdevumu pārvaldnieka komandas un izpildāmās datnes, </w:t>
            </w:r>
            <w:r>
              <w:lastRenderedPageBreak/>
              <w:t>kas ļautu atjaunot sistēmas darbību. Turpretim sistēmā glabāto datu rezerves kopēšana atbilstoši 70. punktā noteiktajam periodiskumam daudzos gadījumos nav lietderīga, jo dati pēc mēneša vai gada jau ir zaudējuši savu aktualitāti un nav izmantojami sistēmas darbības atjaunošanai.  Tāpat noteikt šādu politiku nav lietderīgi un nav vajadzīgs, piemēram, datu noliktavām, kas pēc būtības ir sekundārās datu bāzes. Ņemot vērā sistēmas glabāto datu apjomu, šādu, pēc būtības neizmantojamu datu kopiju uzglabāšana ministrijai un tās iestādēm radīs ievērojamu finansiālu ietekmi.  </w:t>
            </w:r>
          </w:p>
          <w:p w14:paraId="3BCB1E73" w14:textId="77777777" w:rsidR="004256E5" w:rsidRDefault="004256E5" w:rsidP="00544892">
            <w:r>
              <w:t>Prasības vēsturisko datu uzglabāšanai kontrolējošo iestāžu audita vajadzībām neattiecas uz kiberdrošību tādēļ nevar būt pamatojums prasībām šai noteikumos, bet jānosaka katras konkrētas sistēmas noteikumos, nevis visām sistēmām.</w:t>
            </w:r>
          </w:p>
          <w:p w14:paraId="7A5BE44F" w14:textId="77777777" w:rsidR="004256E5" w:rsidRDefault="004256E5" w:rsidP="00544892"/>
          <w:p w14:paraId="3252B64B" w14:textId="77777777" w:rsidR="004256E5" w:rsidRDefault="004256E5" w:rsidP="00544892">
            <w:r>
              <w:t xml:space="preserve">Ņemot vērā ka šādu prasību realizācijai, ja punkta redakcija netiek mainīta, būs nepieciešami </w:t>
            </w:r>
            <w:r>
              <w:lastRenderedPageBreak/>
              <w:t>ievērojami papildus datu nesēju tilpumi rezerves kopēšanas sistēmās, kas radīs papildus izdevumus un esošā budžeta ietvaros nav realizējams 155. punktā noteiktajos termiņos. Attiecīgi nepieciešams mainīt 155. punktā noteiktajos terminus vai izstrādāt pārejas noteikumus.</w:t>
            </w:r>
          </w:p>
          <w:p w14:paraId="2A281E02" w14:textId="77777777" w:rsidR="004256E5" w:rsidRDefault="004256E5" w:rsidP="00544892"/>
          <w:p w14:paraId="6014067F" w14:textId="77777777" w:rsidR="004256E5" w:rsidRDefault="004256E5" w:rsidP="00544892">
            <w:r>
              <w:t>Ņemot vērā ka prasības izpildei tās pašreizējā redakcijā Labklājības ministrijai un tās padotības iestādēm pēc sākotnējā novērtējuma katru gadu būs nepieciešami papildus finanšu līdzekļi 100 000 Eur bez PVN apjomā, ja punkta redakcija netiek mainīta, nepieciešams papildināt anotācijas III sadaļu "budžets" iekļaujot informāciju par nepieciešamajiem papildus finanšu līdzekļiem.</w:t>
            </w:r>
          </w:p>
          <w:p w14:paraId="7B4A12D2" w14:textId="77777777" w:rsidR="004256E5" w:rsidRDefault="004256E5" w:rsidP="00544892">
            <w:pPr>
              <w:spacing w:before="240" w:after="240"/>
              <w:rPr>
                <w:i/>
              </w:rPr>
            </w:pPr>
            <w:r>
              <w:rPr>
                <w:i/>
              </w:rPr>
              <w:t>Piedāvātā redakcija</w:t>
            </w:r>
          </w:p>
          <w:p w14:paraId="63C0F693" w14:textId="77777777" w:rsidR="004256E5" w:rsidRDefault="004256E5" w:rsidP="00544892">
            <w:r>
              <w:t xml:space="preserve">Veidojot rezerves kopijas, subjekts nodrošina, ka rezerves kopija satur visus nepieciešamos datus, lai varētu atjaunot informācijas sistēmas darbību pilnā apjomā uz to brīdi, kad tika </w:t>
            </w:r>
            <w:r>
              <w:lastRenderedPageBreak/>
              <w:t>izveidota rezerves kopija, tai skaitā izpildāmo kodu, atbalsta programmatūru, automatizēto darbību skriptus, tehniskajos resursos regulāri veicamās darbības, operētājsistēmas uzdevumu pārvaldnieka komandas un izpildāmās datnes.</w:t>
            </w:r>
          </w:p>
          <w:p w14:paraId="7CC06201" w14:textId="77777777" w:rsidR="004256E5" w:rsidRDefault="004256E5" w:rsidP="00544892">
            <w:r>
              <w:t>Informācijas sistēmā glabāto datu rezerves kopēšanas politiku, regularitāti un uzglabāšanas ilgumu subjekts nosaka iekšējos sistēmas drošības noteikumos. A klases sistēmām rezerves kopēšanas politika tiek saskaņota ar IT drošību pārraugošo iestādi.</w:t>
            </w:r>
          </w:p>
        </w:tc>
        <w:tc>
          <w:tcPr>
            <w:tcW w:w="3388" w:type="dxa"/>
            <w:shd w:val="clear" w:color="auto" w:fill="FFFFFF"/>
            <w:noWrap/>
            <w:tcMar>
              <w:top w:w="75" w:type="dxa"/>
              <w:left w:w="75" w:type="dxa"/>
              <w:bottom w:w="75" w:type="dxa"/>
              <w:right w:w="75" w:type="dxa"/>
            </w:tcMar>
          </w:tcPr>
          <w:p w14:paraId="7B7CC32F" w14:textId="77777777" w:rsidR="004256E5" w:rsidRDefault="004256E5" w:rsidP="00544892">
            <w:pPr>
              <w:spacing w:after="240"/>
              <w:rPr>
                <w:b/>
              </w:rPr>
            </w:pPr>
            <w:r>
              <w:rPr>
                <w:b/>
              </w:rPr>
              <w:lastRenderedPageBreak/>
              <w:t>Nav ņemts vērā</w:t>
            </w:r>
          </w:p>
          <w:p w14:paraId="7C58E7F8" w14:textId="069BB92A" w:rsidR="004256E5" w:rsidRDefault="004256E5" w:rsidP="00544892">
            <w:r>
              <w:t>Piedāvātā redakcija, sevišķi tās daļa “Informācijas sistēmā glabāto datu rezerves kopēšanas politiku, regularitāti un uzglabāšanas ilgumu subjekts nosaka iekšējos sistēmas drošības noteikumos. ” ir pretrunā ar 70.punktā noteikto. Turklāt rezerves kopijas var būt nepieciešamas arī gadījumos, kad jāizmeklē kiberdrošības incidenti un/vai ir aizdomas par ilgstošu informācijas sistēmu kompromitēšanu.</w:t>
            </w:r>
          </w:p>
          <w:p w14:paraId="1F1B2A38" w14:textId="702F7564" w:rsidR="001A7119" w:rsidRDefault="001A7119" w:rsidP="00544892">
            <w:r>
              <w:t xml:space="preserve">Turklāt Finanšu ministrija starpinstitūciju saskaņošanas sanāksmē vērsa uzmanību uz to, ka noteikumu projekts ir </w:t>
            </w:r>
            <w:r>
              <w:lastRenderedPageBreak/>
              <w:t>realizējas iestāžu esošā budžeta ietvaros.</w:t>
            </w:r>
          </w:p>
          <w:p w14:paraId="79C805B5" w14:textId="77777777" w:rsidR="004256E5" w:rsidRDefault="004256E5" w:rsidP="00544892">
            <w:r>
              <w:t> </w:t>
            </w:r>
          </w:p>
        </w:tc>
        <w:tc>
          <w:tcPr>
            <w:tcW w:w="3388" w:type="dxa"/>
            <w:shd w:val="clear" w:color="auto" w:fill="FFFFFF"/>
            <w:noWrap/>
            <w:tcMar>
              <w:top w:w="75" w:type="dxa"/>
              <w:left w:w="75" w:type="dxa"/>
              <w:bottom w:w="75" w:type="dxa"/>
              <w:right w:w="75" w:type="dxa"/>
            </w:tcMar>
          </w:tcPr>
          <w:p w14:paraId="098FF142" w14:textId="77777777" w:rsidR="004256E5" w:rsidRDefault="004256E5" w:rsidP="00544892">
            <w:r>
              <w:lastRenderedPageBreak/>
              <w:t>68.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r>
      <w:tr w:rsidR="004256E5" w14:paraId="72CA901E" w14:textId="77777777" w:rsidTr="00544892">
        <w:tc>
          <w:tcPr>
            <w:tcW w:w="1015" w:type="dxa"/>
            <w:shd w:val="clear" w:color="auto" w:fill="FFFFFF"/>
            <w:noWrap/>
            <w:tcMar>
              <w:top w:w="75" w:type="dxa"/>
              <w:left w:w="75" w:type="dxa"/>
              <w:bottom w:w="75" w:type="dxa"/>
              <w:right w:w="75" w:type="dxa"/>
            </w:tcMar>
          </w:tcPr>
          <w:p w14:paraId="01528568" w14:textId="77777777" w:rsidR="004256E5" w:rsidRDefault="004256E5" w:rsidP="00544892">
            <w:r>
              <w:lastRenderedPageBreak/>
              <w:t>227.</w:t>
            </w:r>
          </w:p>
        </w:tc>
        <w:tc>
          <w:tcPr>
            <w:tcW w:w="3388" w:type="dxa"/>
            <w:shd w:val="clear" w:color="auto" w:fill="FFFFFF"/>
            <w:noWrap/>
            <w:tcMar>
              <w:top w:w="75" w:type="dxa"/>
              <w:left w:w="75" w:type="dxa"/>
              <w:bottom w:w="75" w:type="dxa"/>
              <w:right w:w="75" w:type="dxa"/>
            </w:tcMar>
          </w:tcPr>
          <w:p w14:paraId="55D4A92B" w14:textId="77777777" w:rsidR="004256E5" w:rsidRDefault="004256E5" w:rsidP="00544892">
            <w:pPr>
              <w:spacing w:after="240"/>
              <w:rPr>
                <w:b/>
              </w:rPr>
            </w:pPr>
            <w:r>
              <w:rPr>
                <w:b/>
              </w:rPr>
              <w:t>Noteikumu projekts</w:t>
            </w:r>
          </w:p>
          <w:p w14:paraId="5A6AADEA" w14:textId="77777777" w:rsidR="004256E5" w:rsidRDefault="004256E5" w:rsidP="00544892">
            <w:r>
              <w:t>70.1. A klases informācijas sistēmai – iepriekšējā dienā, pirms nedēļas (7-31 diena), pirms mēneša (30-365 dienas), iepriekšējā gadā (vecāku par 365 dienām);</w:t>
            </w:r>
          </w:p>
        </w:tc>
        <w:tc>
          <w:tcPr>
            <w:tcW w:w="3388" w:type="dxa"/>
            <w:shd w:val="clear" w:color="auto" w:fill="FFFFFF"/>
            <w:noWrap/>
            <w:tcMar>
              <w:top w:w="75" w:type="dxa"/>
              <w:left w:w="75" w:type="dxa"/>
              <w:bottom w:w="75" w:type="dxa"/>
              <w:right w:w="75" w:type="dxa"/>
            </w:tcMar>
          </w:tcPr>
          <w:p w14:paraId="499EC066" w14:textId="77777777" w:rsidR="004256E5" w:rsidRDefault="004256E5" w:rsidP="00544892">
            <w:pPr>
              <w:spacing w:after="240"/>
              <w:rPr>
                <w:b/>
              </w:rPr>
            </w:pPr>
            <w:r>
              <w:rPr>
                <w:b/>
              </w:rPr>
              <w:t>Iebildums (SAM - 10.04.2025. - pēc termiņa)</w:t>
            </w:r>
          </w:p>
          <w:p w14:paraId="6A47F373" w14:textId="77777777" w:rsidR="004256E5" w:rsidRDefault="004256E5" w:rsidP="00544892">
            <w:r>
              <w:t xml:space="preserve">Noteikumu projekta 70.1. un 70.2. apakšpunkts ir plaši interpretējams, kā arī no kiberdrošības, datu arhivācijas un nodrošināšanās pret datu zudumu viedokļa, nav racionāls pamatojums uzturēt lielu rezerves kopiju apjomu. Nepieciešams minimālais scenāriju skaits ar iespēju veikt biežākas kopijas, ja tas nepieciešams, kā arī klients vislabāk pārzin informācijas </w:t>
            </w:r>
            <w:r>
              <w:lastRenderedPageBreak/>
              <w:t>sistēmu datu rezervācijas nosacījumus.</w:t>
            </w:r>
          </w:p>
          <w:p w14:paraId="65538048" w14:textId="77777777" w:rsidR="004256E5" w:rsidRDefault="004256E5" w:rsidP="00544892">
            <w:r>
              <w:t>Ņemot vērā minēto, lūdzam izteikt noteikumu projekta 70.1. un 70.2. apakšpunktu piedāvātajā redakcijā.</w:t>
            </w:r>
          </w:p>
          <w:p w14:paraId="4F6D2D83" w14:textId="77777777" w:rsidR="004256E5" w:rsidRDefault="004256E5" w:rsidP="00544892">
            <w:pPr>
              <w:spacing w:before="240" w:after="240"/>
              <w:rPr>
                <w:i/>
              </w:rPr>
            </w:pPr>
            <w:r>
              <w:rPr>
                <w:i/>
              </w:rPr>
              <w:t>Piedāvātā redakcija</w:t>
            </w:r>
          </w:p>
          <w:p w14:paraId="2A77CEE3" w14:textId="77777777" w:rsidR="004256E5" w:rsidRDefault="004256E5" w:rsidP="00544892">
            <w:r>
              <w:t>70.1. A klases informācijas sistēmai – iepriekšējā dienā (7 dienu kopijas), pirms nedēļas (4 nedēļu kopija), pirms mēneša (1 mēneša kopija); </w:t>
            </w:r>
          </w:p>
          <w:p w14:paraId="51489B34" w14:textId="77777777" w:rsidR="004256E5" w:rsidRDefault="004256E5" w:rsidP="00544892">
            <w:r>
              <w:t>70.2. B klases informācijas sistēmai – iepriekšējā dienā (7 dienu kopijas), pirms nedēļas (4 nedēļu kopija), pirms mēneša (1 mēneša kopija).</w:t>
            </w:r>
          </w:p>
        </w:tc>
        <w:tc>
          <w:tcPr>
            <w:tcW w:w="3388" w:type="dxa"/>
            <w:shd w:val="clear" w:color="auto" w:fill="FFFFFF"/>
            <w:noWrap/>
            <w:tcMar>
              <w:top w:w="75" w:type="dxa"/>
              <w:left w:w="75" w:type="dxa"/>
              <w:bottom w:w="75" w:type="dxa"/>
              <w:right w:w="75" w:type="dxa"/>
            </w:tcMar>
          </w:tcPr>
          <w:p w14:paraId="6976F154" w14:textId="77777777" w:rsidR="004256E5" w:rsidRDefault="004256E5" w:rsidP="00544892">
            <w:pPr>
              <w:spacing w:after="240"/>
              <w:rPr>
                <w:b/>
              </w:rPr>
            </w:pPr>
            <w:r>
              <w:rPr>
                <w:b/>
              </w:rPr>
              <w:lastRenderedPageBreak/>
              <w:t>Nav ņemts vērā</w:t>
            </w:r>
          </w:p>
          <w:p w14:paraId="131522BF" w14:textId="4F97D355" w:rsidR="004256E5" w:rsidRDefault="004256E5" w:rsidP="00544892">
            <w:r>
              <w:t>Par šo normu ir bijušas virkne diskusiju un gan ministrijas, gan CERT.LV ieskatā ir jāsaglabā piedāvātā normas redakcija. Īpaši A klases informācijas sistēmām, var būt nepieciešamas sistēmu kopijas, kas ir vecākas par mēnesi t.i. gada griezumā, gadījumos, ja IS ir skāris šifrējošais vīruss, pastāv aizdomas par datu kompromitēšanu (integritātes zudumu), utt.</w:t>
            </w:r>
          </w:p>
          <w:p w14:paraId="0E933BA0" w14:textId="17AA4A8D" w:rsidR="008179AF" w:rsidRDefault="001A7119" w:rsidP="00544892">
            <w:r>
              <w:lastRenderedPageBreak/>
              <w:t>Līdz ko tiks pieņemti noteikumi, tiks izdotas vadlīnijas, kur CERT.LV sniegs norādes, kas, kur, cik ilgi un kā ir jāglabā.</w:t>
            </w:r>
          </w:p>
          <w:p w14:paraId="7AFAB7AB" w14:textId="70E46199" w:rsidR="001A7119" w:rsidRDefault="001A7119" w:rsidP="00544892">
            <w:r>
              <w:t>Ja piemērošanas gaitā tiks konstatēts, ka norma nav skaidra, tad tiks apsvērta iespēja to precizēt.</w:t>
            </w:r>
          </w:p>
          <w:p w14:paraId="2CE2BD33" w14:textId="77777777" w:rsidR="004256E5" w:rsidRDefault="004256E5" w:rsidP="00544892"/>
          <w:p w14:paraId="11810FC4" w14:textId="77777777" w:rsidR="004256E5" w:rsidRDefault="004256E5" w:rsidP="00544892">
            <w:r>
              <w:t> </w:t>
            </w:r>
          </w:p>
        </w:tc>
        <w:tc>
          <w:tcPr>
            <w:tcW w:w="3388" w:type="dxa"/>
            <w:shd w:val="clear" w:color="auto" w:fill="FFFFFF"/>
            <w:noWrap/>
            <w:tcMar>
              <w:top w:w="75" w:type="dxa"/>
              <w:left w:w="75" w:type="dxa"/>
              <w:bottom w:w="75" w:type="dxa"/>
              <w:right w:w="75" w:type="dxa"/>
            </w:tcMar>
          </w:tcPr>
          <w:p w14:paraId="1F469B8F" w14:textId="77777777" w:rsidR="004256E5" w:rsidRDefault="004256E5" w:rsidP="00544892">
            <w:r>
              <w:lastRenderedPageBreak/>
              <w:t>70.1. A klases informācijas sistēmai – iepriekšējā dienā, pirms nedēļas (7-31 diena), pirms mēneša (30-365 dienas), iepriekšējā gadā (vecāku par 365 dienām);</w:t>
            </w:r>
          </w:p>
        </w:tc>
      </w:tr>
      <w:tr w:rsidR="004256E5" w14:paraId="3C1A48C1" w14:textId="77777777" w:rsidTr="00544892">
        <w:tc>
          <w:tcPr>
            <w:tcW w:w="1015" w:type="dxa"/>
            <w:shd w:val="clear" w:color="auto" w:fill="FFFFFF"/>
            <w:noWrap/>
            <w:tcMar>
              <w:top w:w="75" w:type="dxa"/>
              <w:left w:w="75" w:type="dxa"/>
              <w:bottom w:w="75" w:type="dxa"/>
              <w:right w:w="75" w:type="dxa"/>
            </w:tcMar>
          </w:tcPr>
          <w:p w14:paraId="14CD8739" w14:textId="77777777" w:rsidR="004256E5" w:rsidRDefault="004256E5" w:rsidP="00544892">
            <w:r>
              <w:t>283.</w:t>
            </w:r>
          </w:p>
        </w:tc>
        <w:tc>
          <w:tcPr>
            <w:tcW w:w="3388" w:type="dxa"/>
            <w:shd w:val="clear" w:color="auto" w:fill="FFFFFF"/>
            <w:noWrap/>
            <w:tcMar>
              <w:top w:w="75" w:type="dxa"/>
              <w:left w:w="75" w:type="dxa"/>
              <w:bottom w:w="75" w:type="dxa"/>
              <w:right w:w="75" w:type="dxa"/>
            </w:tcMar>
          </w:tcPr>
          <w:p w14:paraId="2BC94BBB" w14:textId="77777777" w:rsidR="004256E5" w:rsidRDefault="004256E5" w:rsidP="00544892">
            <w:pPr>
              <w:spacing w:after="240"/>
              <w:rPr>
                <w:b/>
              </w:rPr>
            </w:pPr>
            <w:r>
              <w:rPr>
                <w:b/>
              </w:rPr>
              <w:t>Noteikumu projekts</w:t>
            </w:r>
          </w:p>
          <w:p w14:paraId="646B1D59" w14:textId="77777777" w:rsidR="004256E5" w:rsidRDefault="004256E5" w:rsidP="00544892">
            <w:r>
              <w:t>80. Subjekts uzskaita organizētās apmācības, kā arī ievieš procesus, lai novērtētu nodarbināto, kuri lieto IKT, zināšanas kiberdrošības jautājumos un īstenoto apmācību efektivitāti.</w:t>
            </w:r>
          </w:p>
        </w:tc>
        <w:tc>
          <w:tcPr>
            <w:tcW w:w="3388" w:type="dxa"/>
            <w:shd w:val="clear" w:color="auto" w:fill="FFFFFF"/>
            <w:noWrap/>
            <w:tcMar>
              <w:top w:w="75" w:type="dxa"/>
              <w:left w:w="75" w:type="dxa"/>
              <w:bottom w:w="75" w:type="dxa"/>
              <w:right w:w="75" w:type="dxa"/>
            </w:tcMar>
          </w:tcPr>
          <w:p w14:paraId="7C51C60E" w14:textId="77777777" w:rsidR="004256E5" w:rsidRDefault="004256E5" w:rsidP="00544892">
            <w:pPr>
              <w:spacing w:after="240"/>
              <w:rPr>
                <w:b/>
              </w:rPr>
            </w:pPr>
            <w:r>
              <w:rPr>
                <w:b/>
              </w:rPr>
              <w:t>Iebildums (Conexus - 08.04.2025.)</w:t>
            </w:r>
          </w:p>
          <w:p w14:paraId="68280869" w14:textId="77777777" w:rsidR="004256E5" w:rsidRDefault="004256E5" w:rsidP="00544892">
            <w:r>
              <w:t xml:space="preserve">Uzturam jau iepriekš izteikto iebildumu par to, ka noteikumi attiecībā uz apmācību organizēšanu ir pārāk detalizēti un formalizēti. Ierosinam dzēst noteikumu projekta 80. punktā noteikto pienākumu ieviest procesu, lai novērtētu “īstenoto apmācību efektivitāti”. Šādu pienākumu neparedz NIS2 un ir </w:t>
            </w:r>
            <w:r>
              <w:lastRenderedPageBreak/>
              <w:t>skeptiski vērtējams šāda papildu pienākuma pienesums un lietderīgums, ņemot vērā administratīvo slogu, ko tas uzliek Nacionālā kiberdrošības likuma subjektiem. Apmācību efektivitāti kā tādu ir grūti novērtēt, ņemot vērā, ka darbinieku kiberhigēnas paradumus ietekmē ne tikai apmācību kvalitāte, bet arī apmācāmā personība, motivācija un citi no Nacionālā kiberdrošības likuma subjektiem neatkarīgi faktori, attiecīgi nav iespējams izveidot objektīvi un precīzi nosakāmu apmācību efektivitātes novērtēšanas procesu.</w:t>
            </w:r>
          </w:p>
          <w:p w14:paraId="62D791C3" w14:textId="77777777" w:rsidR="004256E5" w:rsidRDefault="004256E5" w:rsidP="00544892"/>
          <w:p w14:paraId="02FFDC15" w14:textId="77777777" w:rsidR="004256E5" w:rsidRDefault="004256E5" w:rsidP="00544892">
            <w:r>
              <w:t xml:space="preserve">Papildus vēršam uzmanību, ka noteikumu projektā nav ietverts NIS2 20. panta 2. punktā noteiktais pienākums apmācības iziet arī “būtisko un svarīgo vienību pārvaldības struktūru locekļiem”, tādējādi nodrošinot viņu spējas “identificēt riskus un novērtēt kiberdrošības risku pārvaldības praksi, kā arī to ietekmi uz vienības sniegtajiem pakalpojumiem”. Noteikumu projekta 76.2. punktā ir minētas </w:t>
            </w:r>
            <w:r>
              <w:lastRenderedPageBreak/>
              <w:t>apmācības tikai subjekta nodarbinātajam IKT personālam. Augstāko pārvaldības struktūru (valdes, padomes) locekļi Latvijā nav uzskatāmi par nodarbinātajiem, tādēļ noteikumu projekta 76.2. punkts būtu papildināms, ietverot atsauci arī uz amatpersonām.</w:t>
            </w:r>
          </w:p>
          <w:p w14:paraId="2CAAB6DF" w14:textId="77777777" w:rsidR="004256E5" w:rsidRDefault="004256E5" w:rsidP="00544892">
            <w:r>
              <w:t> </w:t>
            </w:r>
          </w:p>
          <w:p w14:paraId="2C36470E" w14:textId="77777777" w:rsidR="004256E5" w:rsidRDefault="004256E5" w:rsidP="00544892">
            <w:pPr>
              <w:spacing w:before="240" w:after="240"/>
              <w:rPr>
                <w:i/>
              </w:rPr>
            </w:pPr>
            <w:r>
              <w:rPr>
                <w:i/>
              </w:rPr>
              <w:t>Piedāvātā redakcija</w:t>
            </w:r>
          </w:p>
          <w:p w14:paraId="3950BDDA" w14:textId="77777777" w:rsidR="004256E5" w:rsidRDefault="004256E5" w:rsidP="00544892">
            <w:r>
              <w:t>Subjekts uzskaita organizētās apmācības, kā arī ievieš procesus, lai novērtētu amatpersonu un nodarbināto, kuri lieto IKT, zināšanas kiberdrošības jautājumos.</w:t>
            </w:r>
          </w:p>
        </w:tc>
        <w:tc>
          <w:tcPr>
            <w:tcW w:w="3388" w:type="dxa"/>
            <w:shd w:val="clear" w:color="auto" w:fill="FFFFFF"/>
            <w:noWrap/>
            <w:tcMar>
              <w:top w:w="75" w:type="dxa"/>
              <w:left w:w="75" w:type="dxa"/>
              <w:bottom w:w="75" w:type="dxa"/>
              <w:right w:w="75" w:type="dxa"/>
            </w:tcMar>
          </w:tcPr>
          <w:p w14:paraId="69901EE6" w14:textId="77777777" w:rsidR="004256E5" w:rsidRDefault="004256E5" w:rsidP="00544892">
            <w:pPr>
              <w:spacing w:after="240"/>
              <w:rPr>
                <w:b/>
              </w:rPr>
            </w:pPr>
            <w:r>
              <w:rPr>
                <w:b/>
              </w:rPr>
              <w:lastRenderedPageBreak/>
              <w:t>Ņemts vērā</w:t>
            </w:r>
          </w:p>
          <w:p w14:paraId="58FE3B10" w14:textId="77777777" w:rsidR="004256E5" w:rsidRDefault="004256E5" w:rsidP="00544892">
            <w:r>
              <w:t>Papildināts noteikumu projekta 76.punkts ar norādi, ka arī subjekta amatpersonas, kuras lieto IKT resursus un ir informācijas sistēmu reģistrēti lietotāji, ir iekļaujami apmācāmo lokā.</w:t>
            </w:r>
          </w:p>
          <w:p w14:paraId="2C2CC907" w14:textId="77777777" w:rsidR="004256E5" w:rsidRDefault="004256E5" w:rsidP="00544892"/>
          <w:p w14:paraId="48B62824" w14:textId="77777777" w:rsidR="001A7119" w:rsidRDefault="004256E5" w:rsidP="00544892">
            <w:r>
              <w:t>Attiecībā uz noteikumu projekta 80.punkt</w:t>
            </w:r>
            <w:r w:rsidR="001A7119">
              <w:t>a būtību -</w:t>
            </w:r>
            <w:r>
              <w:t xml:space="preserve"> ir </w:t>
            </w:r>
            <w:r>
              <w:lastRenderedPageBreak/>
              <w:t>nepieciešams pārliecināties par apmācību efektivitāti.</w:t>
            </w:r>
            <w:r w:rsidR="001A7119">
              <w:t xml:space="preserve"> </w:t>
            </w:r>
          </w:p>
          <w:p w14:paraId="4D28E0D1" w14:textId="7E7A43A9" w:rsidR="004256E5" w:rsidRDefault="001A7119" w:rsidP="00544892">
            <w:r>
              <w:t xml:space="preserve">NIS2 direktīvas 21.panta 2.punktā g) apakšpunktā ir noteikts, ka pasākumu, kas minēti šī panta 1. punktā, pamatā ir visu apdraudējumu pieeja, kuras mērķis ir aizsargāt tīklu un informācijas sistēmas un šo sistēmu fizisko vidi no incidentiem, un tie ietver vismaz: </w:t>
            </w:r>
          </w:p>
          <w:p w14:paraId="0EB65D14" w14:textId="7104E6B9" w:rsidR="001A7119" w:rsidRDefault="001A7119" w:rsidP="00544892">
            <w:r>
              <w:t>g) kiberhigiēnas pamatpraksi un apmācību kiberdrošības jomā;.</w:t>
            </w:r>
          </w:p>
          <w:p w14:paraId="641440BD" w14:textId="70E2E14C" w:rsidR="001A7119" w:rsidRDefault="001A7119" w:rsidP="00544892">
            <w:r>
              <w:t>Šī norma nosaka dalībvalstij sasniedzamo mērķi, to kā šo mērķi sasniegt nosaka pati dalībvalsts.</w:t>
            </w:r>
          </w:p>
          <w:p w14:paraId="4AEA25D5" w14:textId="2B494C40" w:rsidR="001A7119" w:rsidRDefault="001A7119" w:rsidP="00544892">
            <w:r>
              <w:t>Noteikumu projekta 80.punkts nenosaka, kādā veidā subjekts novērtē savu nodarbināto un amatpersonu  zināšanas kiberdrošībā.</w:t>
            </w:r>
          </w:p>
          <w:tbl>
            <w:tblPr>
              <w:tblW w:w="5000" w:type="pct"/>
              <w:tblCellSpacing w:w="0" w:type="dxa"/>
              <w:tblLayout w:type="fixed"/>
              <w:tblCellMar>
                <w:left w:w="0" w:type="dxa"/>
                <w:right w:w="0" w:type="dxa"/>
              </w:tblCellMar>
              <w:tblLook w:val="04A0" w:firstRow="1" w:lastRow="0" w:firstColumn="1" w:lastColumn="0" w:noHBand="0" w:noVBand="1"/>
            </w:tblPr>
            <w:tblGrid>
              <w:gridCol w:w="120"/>
              <w:gridCol w:w="3118"/>
            </w:tblGrid>
            <w:tr w:rsidR="001A7119" w:rsidRPr="001A7119" w14:paraId="73F139E5" w14:textId="77777777" w:rsidTr="001A7119">
              <w:trPr>
                <w:tblCellSpacing w:w="0" w:type="dxa"/>
              </w:trPr>
              <w:tc>
                <w:tcPr>
                  <w:tcW w:w="289" w:type="dxa"/>
                </w:tcPr>
                <w:p w14:paraId="051D79CC" w14:textId="3492073F" w:rsidR="001A7119" w:rsidRPr="001A7119" w:rsidRDefault="001A7119" w:rsidP="001A7119">
                  <w:pPr>
                    <w:spacing w:before="100" w:beforeAutospacing="1" w:after="100" w:afterAutospacing="1"/>
                    <w:jc w:val="left"/>
                    <w:rPr>
                      <w:color w:val="auto"/>
                      <w:szCs w:val="24"/>
                    </w:rPr>
                  </w:pPr>
                </w:p>
              </w:tc>
              <w:tc>
                <w:tcPr>
                  <w:tcW w:w="8351" w:type="dxa"/>
                </w:tcPr>
                <w:p w14:paraId="56D63D0F" w14:textId="7838C2B1" w:rsidR="001A7119" w:rsidRPr="001A7119" w:rsidRDefault="001A7119" w:rsidP="001A7119">
                  <w:pPr>
                    <w:spacing w:before="100" w:beforeAutospacing="1" w:after="100" w:afterAutospacing="1"/>
                    <w:jc w:val="left"/>
                    <w:rPr>
                      <w:color w:val="auto"/>
                      <w:szCs w:val="24"/>
                    </w:rPr>
                  </w:pPr>
                </w:p>
              </w:tc>
            </w:tr>
          </w:tbl>
          <w:p w14:paraId="34459282" w14:textId="39DA81E7" w:rsidR="004256E5" w:rsidRDefault="004256E5" w:rsidP="00544892"/>
          <w:p w14:paraId="6C12643C" w14:textId="77777777" w:rsidR="004256E5" w:rsidRDefault="004256E5" w:rsidP="00544892">
            <w:r>
              <w:t> </w:t>
            </w:r>
          </w:p>
        </w:tc>
        <w:tc>
          <w:tcPr>
            <w:tcW w:w="3388" w:type="dxa"/>
            <w:shd w:val="clear" w:color="auto" w:fill="FFFFFF"/>
            <w:noWrap/>
            <w:tcMar>
              <w:top w:w="75" w:type="dxa"/>
              <w:left w:w="75" w:type="dxa"/>
              <w:bottom w:w="75" w:type="dxa"/>
              <w:right w:w="75" w:type="dxa"/>
            </w:tcMar>
          </w:tcPr>
          <w:p w14:paraId="189C37ED" w14:textId="1C477E65" w:rsidR="004256E5" w:rsidRDefault="004256E5" w:rsidP="00544892">
            <w:r>
              <w:lastRenderedPageBreak/>
              <w:t>80. Subjekts uzskaita organizētās kiberdrošības instruktāžas</w:t>
            </w:r>
            <w:r w:rsidR="001A7119">
              <w:t xml:space="preserve"> un</w:t>
            </w:r>
            <w:r>
              <w:t xml:space="preserve"> novērtē nodarbināto</w:t>
            </w:r>
            <w:r w:rsidR="001A7119">
              <w:t xml:space="preserve"> un amatapersonu</w:t>
            </w:r>
            <w:r>
              <w:t>, kuri lieto subjekta IKT resursus un informācijas sistēmas, zināšanas kiberdrošības jautājumos un īstenoto kiberdrošības instruktāžu efektivitāti.</w:t>
            </w:r>
          </w:p>
        </w:tc>
      </w:tr>
      <w:tr w:rsidR="004256E5" w14:paraId="13A389C9" w14:textId="77777777" w:rsidTr="00544892">
        <w:tc>
          <w:tcPr>
            <w:tcW w:w="1015" w:type="dxa"/>
            <w:shd w:val="clear" w:color="auto" w:fill="FFFFFF"/>
            <w:noWrap/>
            <w:tcMar>
              <w:top w:w="75" w:type="dxa"/>
              <w:left w:w="75" w:type="dxa"/>
              <w:bottom w:w="75" w:type="dxa"/>
              <w:right w:w="75" w:type="dxa"/>
            </w:tcMar>
          </w:tcPr>
          <w:p w14:paraId="77D6A5FB" w14:textId="77777777" w:rsidR="004256E5" w:rsidRPr="007046C5" w:rsidRDefault="004256E5" w:rsidP="00544892">
            <w:r w:rsidRPr="007046C5">
              <w:lastRenderedPageBreak/>
              <w:t>340.</w:t>
            </w:r>
          </w:p>
        </w:tc>
        <w:tc>
          <w:tcPr>
            <w:tcW w:w="3388" w:type="dxa"/>
            <w:shd w:val="clear" w:color="auto" w:fill="FFFFFF"/>
            <w:noWrap/>
            <w:tcMar>
              <w:top w:w="75" w:type="dxa"/>
              <w:left w:w="75" w:type="dxa"/>
              <w:bottom w:w="75" w:type="dxa"/>
              <w:right w:w="75" w:type="dxa"/>
            </w:tcMar>
          </w:tcPr>
          <w:p w14:paraId="00AA8972" w14:textId="77777777" w:rsidR="004256E5" w:rsidRPr="007046C5" w:rsidRDefault="004256E5" w:rsidP="00544892">
            <w:pPr>
              <w:spacing w:after="240"/>
              <w:rPr>
                <w:b/>
              </w:rPr>
            </w:pPr>
            <w:r w:rsidRPr="007046C5">
              <w:rPr>
                <w:b/>
              </w:rPr>
              <w:t>Noteikumu projekts</w:t>
            </w:r>
          </w:p>
          <w:p w14:paraId="29678640" w14:textId="77777777" w:rsidR="004256E5" w:rsidRPr="007046C5" w:rsidRDefault="004256E5" w:rsidP="00544892">
            <w:r w:rsidRPr="007046C5">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w:t>
            </w:r>
            <w:r w:rsidRPr="007046C5">
              <w:lastRenderedPageBreak/>
              <w:t>ietekmes guvējs ir Valsts pārvaldes iekārtas likumā noteiktā publiskā persona. Satversmes aizsardzības birojs atzinumu sniedz trīs mēnešu laikā, nepieciešamības gadījumā atzinuma sniegšanu var pagarināt uz vēl vienu mēnesi.</w:t>
            </w:r>
          </w:p>
        </w:tc>
        <w:tc>
          <w:tcPr>
            <w:tcW w:w="3388" w:type="dxa"/>
            <w:shd w:val="clear" w:color="auto" w:fill="FFFFFF"/>
            <w:noWrap/>
            <w:tcMar>
              <w:top w:w="75" w:type="dxa"/>
              <w:left w:w="75" w:type="dxa"/>
              <w:bottom w:w="75" w:type="dxa"/>
              <w:right w:w="75" w:type="dxa"/>
            </w:tcMar>
          </w:tcPr>
          <w:p w14:paraId="039602B2" w14:textId="77777777" w:rsidR="004256E5" w:rsidRDefault="004256E5" w:rsidP="00544892">
            <w:pPr>
              <w:spacing w:after="240"/>
              <w:rPr>
                <w:b/>
              </w:rPr>
            </w:pPr>
            <w:r>
              <w:rPr>
                <w:b/>
              </w:rPr>
              <w:lastRenderedPageBreak/>
              <w:t>Iebildums (SAM - 10.04.2025. - pēc termiņa)</w:t>
            </w:r>
          </w:p>
          <w:p w14:paraId="2CF2238B" w14:textId="77777777" w:rsidR="004256E5" w:rsidRDefault="004256E5" w:rsidP="00544892">
            <w:r>
              <w:t>Noteikumu projekta 93. punkta otrais teikums paredz, ka Satversmes aizsardzības birojs atzinumu sniedz trīs mēnešu laikā, nepieciešamības gadījumā atzinuma sniegšanu var pagarināt uz vēl vienu mēnesi. </w:t>
            </w:r>
          </w:p>
          <w:p w14:paraId="604A6885" w14:textId="77777777" w:rsidR="004256E5" w:rsidRDefault="004256E5" w:rsidP="00544892">
            <w:r>
              <w:t xml:space="preserve">Ņemot vērā to, ka minētais termiņš ir nesamērīgs un var ievērojami aizkavēt jaunu </w:t>
            </w:r>
            <w:r>
              <w:lastRenderedPageBreak/>
              <w:t>iepirkumu līgumu noslēgšanu par pakalpojumu sniegšanu par IKT kritiskās infrastruktūras informācijas sistēmām, lūdzam samazināt atzinuma sniegšanas termiņu līdz vienam mēnesim ar iespēju nepieciešamības gadījumā to pagarināt uz vēl vienu mēnesi. </w:t>
            </w:r>
          </w:p>
          <w:p w14:paraId="2198906B" w14:textId="77777777" w:rsidR="004256E5" w:rsidRDefault="004256E5" w:rsidP="00544892">
            <w:pPr>
              <w:spacing w:before="240" w:after="240"/>
              <w:rPr>
                <w:i/>
              </w:rPr>
            </w:pPr>
            <w:r>
              <w:rPr>
                <w:i/>
              </w:rPr>
              <w:t>Piedāvātā redakcija</w:t>
            </w:r>
          </w:p>
          <w:p w14:paraId="74E92FC9" w14:textId="77777777" w:rsidR="004256E5" w:rsidRDefault="004256E5" w:rsidP="00544892">
            <w:r>
              <w:t>-</w:t>
            </w:r>
          </w:p>
        </w:tc>
        <w:tc>
          <w:tcPr>
            <w:tcW w:w="3388" w:type="dxa"/>
            <w:shd w:val="clear" w:color="auto" w:fill="FFFFFF"/>
            <w:noWrap/>
            <w:tcMar>
              <w:top w:w="75" w:type="dxa"/>
              <w:left w:w="75" w:type="dxa"/>
              <w:bottom w:w="75" w:type="dxa"/>
              <w:right w:w="75" w:type="dxa"/>
            </w:tcMar>
          </w:tcPr>
          <w:p w14:paraId="30DB26D6" w14:textId="77777777" w:rsidR="004256E5" w:rsidRDefault="004256E5" w:rsidP="00544892">
            <w:pPr>
              <w:spacing w:after="240"/>
              <w:rPr>
                <w:b/>
              </w:rPr>
            </w:pPr>
            <w:r>
              <w:rPr>
                <w:b/>
              </w:rPr>
              <w:lastRenderedPageBreak/>
              <w:t>Nav ņemts vērā</w:t>
            </w:r>
          </w:p>
          <w:p w14:paraId="626D9A1C" w14:textId="77777777" w:rsidR="004256E5" w:rsidRDefault="004256E5" w:rsidP="00544892">
            <w:r>
              <w:t xml:space="preserve">Noteikumu projekta 93.punktā ir noteikts maksimālais atzinuma sniegšanas termiņš, kas izvēlēts ņemot vērā reālo nepieciešamo laiku atzinuma sniegšanai. IKT kritiskās infrastruktūras īpašniekam vai tiesiskajam valdītājam ārpakalpojuma līguma par pakalpojuma sniegšanu būs jāveic plānveidīgi, ierēķinot Satversmes aizsardzības birojam </w:t>
            </w:r>
            <w:r>
              <w:lastRenderedPageBreak/>
              <w:t>nepieciešamo laiku atzinuma sagatavošanā.</w:t>
            </w:r>
          </w:p>
        </w:tc>
        <w:tc>
          <w:tcPr>
            <w:tcW w:w="3388" w:type="dxa"/>
            <w:shd w:val="clear" w:color="auto" w:fill="FFFFFF"/>
            <w:noWrap/>
            <w:tcMar>
              <w:top w:w="75" w:type="dxa"/>
              <w:left w:w="75" w:type="dxa"/>
              <w:bottom w:w="75" w:type="dxa"/>
              <w:right w:w="75" w:type="dxa"/>
            </w:tcMar>
          </w:tcPr>
          <w:p w14:paraId="21BE111F" w14:textId="77777777" w:rsidR="004256E5" w:rsidRDefault="004256E5" w:rsidP="00544892">
            <w:r>
              <w:lastRenderedPageBreak/>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Valsts pārvaldes iekārtas likumā noteiktā publiskā persona. </w:t>
            </w:r>
            <w:r w:rsidRPr="007046C5">
              <w:lastRenderedPageBreak/>
              <w:t>Satversmes aizsardzības birojs atzinumu sniedz trīs mēnešu laikā, nepieciešamības gadījumā atzinuma sniegšanu var pagarināt uz vēl vienu mēnesi.</w:t>
            </w:r>
          </w:p>
        </w:tc>
      </w:tr>
      <w:tr w:rsidR="004256E5" w14:paraId="0AEA4F13" w14:textId="77777777" w:rsidTr="00544892">
        <w:tc>
          <w:tcPr>
            <w:tcW w:w="1015" w:type="dxa"/>
            <w:shd w:val="clear" w:color="auto" w:fill="FFFFFF"/>
            <w:noWrap/>
            <w:tcMar>
              <w:top w:w="75" w:type="dxa"/>
              <w:left w:w="75" w:type="dxa"/>
              <w:bottom w:w="75" w:type="dxa"/>
              <w:right w:w="75" w:type="dxa"/>
            </w:tcMar>
          </w:tcPr>
          <w:p w14:paraId="03E9AE5A" w14:textId="77777777" w:rsidR="004256E5" w:rsidRPr="007046C5" w:rsidRDefault="004256E5" w:rsidP="00544892">
            <w:r w:rsidRPr="007046C5">
              <w:lastRenderedPageBreak/>
              <w:t>341.</w:t>
            </w:r>
          </w:p>
        </w:tc>
        <w:tc>
          <w:tcPr>
            <w:tcW w:w="3388" w:type="dxa"/>
            <w:shd w:val="clear" w:color="auto" w:fill="FFFFFF"/>
            <w:noWrap/>
            <w:tcMar>
              <w:top w:w="75" w:type="dxa"/>
              <w:left w:w="75" w:type="dxa"/>
              <w:bottom w:w="75" w:type="dxa"/>
              <w:right w:w="75" w:type="dxa"/>
            </w:tcMar>
          </w:tcPr>
          <w:p w14:paraId="36D26D5D" w14:textId="77777777" w:rsidR="004256E5" w:rsidRPr="007046C5" w:rsidRDefault="004256E5" w:rsidP="00544892">
            <w:pPr>
              <w:spacing w:after="240"/>
              <w:rPr>
                <w:b/>
              </w:rPr>
            </w:pPr>
            <w:r w:rsidRPr="007046C5">
              <w:rPr>
                <w:b/>
              </w:rPr>
              <w:t>Noteikumu projekts</w:t>
            </w:r>
          </w:p>
          <w:p w14:paraId="41BA6B3E" w14:textId="77777777" w:rsidR="004256E5" w:rsidRPr="007046C5" w:rsidRDefault="004256E5" w:rsidP="00544892">
            <w:r w:rsidRPr="007046C5">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Valsts pārvaldes iekārtas likumā noteiktā publiskā persona. Satversmes aizsardzības birojs atzinumu sniedz trīs mēnešu laikā, nepieciešamības gadījumā </w:t>
            </w:r>
            <w:r w:rsidRPr="007046C5">
              <w:lastRenderedPageBreak/>
              <w:t>atzinuma sniegšanu var pagarināt uz vēl vienu mēnesi.</w:t>
            </w:r>
          </w:p>
        </w:tc>
        <w:tc>
          <w:tcPr>
            <w:tcW w:w="3388" w:type="dxa"/>
            <w:shd w:val="clear" w:color="auto" w:fill="FFFFFF"/>
            <w:noWrap/>
            <w:tcMar>
              <w:top w:w="75" w:type="dxa"/>
              <w:left w:w="75" w:type="dxa"/>
              <w:bottom w:w="75" w:type="dxa"/>
              <w:right w:w="75" w:type="dxa"/>
            </w:tcMar>
          </w:tcPr>
          <w:p w14:paraId="27B0F6ED" w14:textId="77777777" w:rsidR="004256E5" w:rsidRDefault="004256E5" w:rsidP="00544892">
            <w:pPr>
              <w:spacing w:after="240"/>
              <w:rPr>
                <w:b/>
              </w:rPr>
            </w:pPr>
            <w:r>
              <w:rPr>
                <w:b/>
              </w:rPr>
              <w:lastRenderedPageBreak/>
              <w:t>Iebildums (FM - 09.04.2025.)</w:t>
            </w:r>
          </w:p>
          <w:p w14:paraId="4AFDADED" w14:textId="77777777" w:rsidR="004256E5" w:rsidRDefault="004256E5" w:rsidP="00544892">
            <w:r>
              <w:t>Norādītais termiņš apgrūtinās iepirkumu plānošanu (gan subjekta, gan ārpakalpojuma sniedzēja pusē), finansējuma apguvi, ārpakalpojuma uzsākšanu un ļoti būtiski paildzinās lēmuma pieņemšanu iepirkuma procedūras ietvaros. Lūdzam paredzēt īsāku saskaņošanas termiņu.</w:t>
            </w:r>
          </w:p>
          <w:p w14:paraId="0106300C" w14:textId="77777777" w:rsidR="004256E5" w:rsidRDefault="004256E5" w:rsidP="00544892">
            <w:pPr>
              <w:spacing w:before="240" w:after="240"/>
              <w:rPr>
                <w:i/>
              </w:rPr>
            </w:pPr>
            <w:r>
              <w:rPr>
                <w:i/>
              </w:rPr>
              <w:t>Piedāvātā redakcija</w:t>
            </w:r>
          </w:p>
          <w:p w14:paraId="656DF2C1" w14:textId="77777777" w:rsidR="004256E5" w:rsidRDefault="004256E5" w:rsidP="00544892">
            <w:r>
              <w:t>-</w:t>
            </w:r>
          </w:p>
        </w:tc>
        <w:tc>
          <w:tcPr>
            <w:tcW w:w="3388" w:type="dxa"/>
            <w:shd w:val="clear" w:color="auto" w:fill="FFFFFF"/>
            <w:noWrap/>
            <w:tcMar>
              <w:top w:w="75" w:type="dxa"/>
              <w:left w:w="75" w:type="dxa"/>
              <w:bottom w:w="75" w:type="dxa"/>
              <w:right w:w="75" w:type="dxa"/>
            </w:tcMar>
          </w:tcPr>
          <w:p w14:paraId="4606D15F" w14:textId="77777777" w:rsidR="004256E5" w:rsidRDefault="004256E5" w:rsidP="00544892">
            <w:pPr>
              <w:spacing w:after="240"/>
              <w:rPr>
                <w:b/>
              </w:rPr>
            </w:pPr>
            <w:r>
              <w:rPr>
                <w:b/>
              </w:rPr>
              <w:t>Nav ņemts vērā</w:t>
            </w:r>
          </w:p>
          <w:p w14:paraId="0E9B071A" w14:textId="77777777" w:rsidR="004256E5" w:rsidRDefault="004256E5" w:rsidP="00544892">
            <w:r>
              <w:t>Noteikumu projekta 93.punktā ir noteikts maksimālais atzinuma sniegšanas termiņš, kas izvēlēts ņemot vērā reālo nepieciešamo laiku atzinuma sniegšanai. IKT kritiskās infrastruktūras īpašniekam vai tiesiskajam valdītājam ārpakalpojuma līguma par pakalpojuma sniegšanu būs jāveic plānveidīgi, ierēķinot Satversmes aizsardzības birojam nepieciešamo laiku atzinuma sagatavošanā.</w:t>
            </w:r>
          </w:p>
        </w:tc>
        <w:tc>
          <w:tcPr>
            <w:tcW w:w="3388" w:type="dxa"/>
            <w:shd w:val="clear" w:color="auto" w:fill="FFFFFF"/>
            <w:noWrap/>
            <w:tcMar>
              <w:top w:w="75" w:type="dxa"/>
              <w:left w:w="75" w:type="dxa"/>
              <w:bottom w:w="75" w:type="dxa"/>
              <w:right w:w="75" w:type="dxa"/>
            </w:tcMar>
          </w:tcPr>
          <w:p w14:paraId="6C6C1EE6" w14:textId="2FDB78F0" w:rsidR="004256E5" w:rsidRDefault="004256E5" w:rsidP="00544892">
            <w: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Valsts pārvaldes iekārtas likumā noteiktā publiskā persona. </w:t>
            </w:r>
            <w:r w:rsidRPr="007046C5">
              <w:t>Satversmes aizsardzības birojs atzinumu sniedz trīs mēnešu laikā, nepieciešamības gadījumā atzinuma sniegšanu var pagarināt uz vēl vienu mēnesi.</w:t>
            </w:r>
          </w:p>
        </w:tc>
      </w:tr>
      <w:tr w:rsidR="004256E5" w14:paraId="15A3B891" w14:textId="77777777" w:rsidTr="00544892">
        <w:tc>
          <w:tcPr>
            <w:tcW w:w="1015" w:type="dxa"/>
            <w:shd w:val="clear" w:color="auto" w:fill="FFFFFF"/>
            <w:noWrap/>
            <w:tcMar>
              <w:top w:w="75" w:type="dxa"/>
              <w:left w:w="75" w:type="dxa"/>
              <w:bottom w:w="75" w:type="dxa"/>
              <w:right w:w="75" w:type="dxa"/>
            </w:tcMar>
          </w:tcPr>
          <w:p w14:paraId="63A7149A" w14:textId="77777777" w:rsidR="004256E5" w:rsidRPr="001A7119" w:rsidRDefault="004256E5" w:rsidP="00544892">
            <w:r w:rsidRPr="001A7119">
              <w:t>358.</w:t>
            </w:r>
          </w:p>
        </w:tc>
        <w:tc>
          <w:tcPr>
            <w:tcW w:w="3388" w:type="dxa"/>
            <w:shd w:val="clear" w:color="auto" w:fill="FFFFFF"/>
            <w:noWrap/>
            <w:tcMar>
              <w:top w:w="75" w:type="dxa"/>
              <w:left w:w="75" w:type="dxa"/>
              <w:bottom w:w="75" w:type="dxa"/>
              <w:right w:w="75" w:type="dxa"/>
            </w:tcMar>
          </w:tcPr>
          <w:p w14:paraId="1BCE4977" w14:textId="77777777" w:rsidR="004256E5" w:rsidRPr="001A7119" w:rsidRDefault="004256E5" w:rsidP="00544892">
            <w:pPr>
              <w:spacing w:after="240"/>
              <w:rPr>
                <w:b/>
              </w:rPr>
            </w:pPr>
            <w:r w:rsidRPr="001A7119">
              <w:rPr>
                <w:b/>
              </w:rPr>
              <w:t>Noteikumu projekts</w:t>
            </w:r>
          </w:p>
          <w:p w14:paraId="53E514D3" w14:textId="77777777" w:rsidR="004256E5" w:rsidRPr="001A7119" w:rsidRDefault="004256E5" w:rsidP="00544892">
            <w:r w:rsidRPr="001A7119">
              <w:t>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tcW w:w="3388" w:type="dxa"/>
            <w:shd w:val="clear" w:color="auto" w:fill="FFFFFF"/>
            <w:noWrap/>
            <w:tcMar>
              <w:top w:w="75" w:type="dxa"/>
              <w:left w:w="75" w:type="dxa"/>
              <w:bottom w:w="75" w:type="dxa"/>
              <w:right w:w="75" w:type="dxa"/>
            </w:tcMar>
          </w:tcPr>
          <w:p w14:paraId="165CBE25" w14:textId="77777777" w:rsidR="004256E5" w:rsidRPr="001A7119" w:rsidRDefault="004256E5" w:rsidP="00544892">
            <w:pPr>
              <w:spacing w:after="240"/>
              <w:rPr>
                <w:b/>
                <w:color w:val="auto"/>
              </w:rPr>
            </w:pPr>
            <w:r w:rsidRPr="001A7119">
              <w:rPr>
                <w:b/>
                <w:color w:val="auto"/>
              </w:rPr>
              <w:t>Iebildums (Medicīnas Tehnoloģiju Piegādātāju Asociācija - 08.04.2025.)</w:t>
            </w:r>
          </w:p>
          <w:p w14:paraId="7EF73C99" w14:textId="77777777" w:rsidR="004256E5" w:rsidRPr="001A7119" w:rsidRDefault="004256E5" w:rsidP="00544892">
            <w:pPr>
              <w:rPr>
                <w:color w:val="auto"/>
              </w:rPr>
            </w:pPr>
            <w:r w:rsidRPr="001A7119">
              <w:rPr>
                <w:color w:val="auto"/>
              </w:rPr>
              <w:t>Medicīnas tehnoloģiju piegādātāju asociācija ir iepazinusies ar Aizsardzības ministrijas atkārtoti precizēto Ministru kabineta noteikumu projektu “Noteikumi par minimālajām kiberdrošības prasībām”, turpmāk – Projekts, un sniedz šādus iebildumus.</w:t>
            </w:r>
          </w:p>
          <w:p w14:paraId="6DDCAB65" w14:textId="77777777" w:rsidR="004256E5" w:rsidRPr="001A7119" w:rsidRDefault="004256E5" w:rsidP="00544892">
            <w:pPr>
              <w:rPr>
                <w:color w:val="auto"/>
              </w:rPr>
            </w:pPr>
          </w:p>
          <w:p w14:paraId="45A83E99" w14:textId="77777777" w:rsidR="004256E5" w:rsidRPr="001A7119" w:rsidRDefault="004256E5" w:rsidP="00544892">
            <w:pPr>
              <w:rPr>
                <w:color w:val="auto"/>
              </w:rPr>
            </w:pPr>
            <w:r w:rsidRPr="001A7119">
              <w:rPr>
                <w:color w:val="auto"/>
              </w:rPr>
              <w:t>1. Nevar piekrist vārdu “tehniskā resursa ražotājs” iekļaušanai 94.punktā. Projekta 94.pants šādā redakcijā nepamatoti un nepieļaujami aizskar personu Satversmes 105.panta pirmos trijos teikumos garantētās pamattiesības tiesības uz īpašumu un saimniecisko darbību, un pārkāpj Eiropas Savienības dalībvalstu pienākumu garantēt preču brīvu apriti.</w:t>
            </w:r>
          </w:p>
          <w:p w14:paraId="627645A0" w14:textId="77777777" w:rsidR="004256E5" w:rsidRPr="001A7119" w:rsidRDefault="004256E5" w:rsidP="00544892">
            <w:pPr>
              <w:rPr>
                <w:color w:val="auto"/>
              </w:rPr>
            </w:pPr>
          </w:p>
          <w:p w14:paraId="6E5A075B" w14:textId="77777777" w:rsidR="004256E5" w:rsidRPr="001A7119" w:rsidRDefault="004256E5" w:rsidP="00544892">
            <w:pPr>
              <w:rPr>
                <w:color w:val="auto"/>
              </w:rPr>
            </w:pPr>
            <w:r w:rsidRPr="001A7119">
              <w:rPr>
                <w:color w:val="auto"/>
              </w:rPr>
              <w:t>94.punkta ierobežojumam nav juridiskā vai faktiskā pamatojuma</w:t>
            </w:r>
          </w:p>
          <w:p w14:paraId="0ED90E0C" w14:textId="77777777" w:rsidR="004256E5" w:rsidRPr="001A7119" w:rsidRDefault="004256E5" w:rsidP="00544892">
            <w:pPr>
              <w:rPr>
                <w:color w:val="auto"/>
              </w:rPr>
            </w:pPr>
            <w:r w:rsidRPr="001A7119">
              <w:rPr>
                <w:color w:val="auto"/>
              </w:rPr>
              <w:lastRenderedPageBreak/>
              <w:t>[1.1] Nav konstatējams nedz tiesiskais, nedz faktiskais pamatojums, kādēļ no punkta uz punktu tiek pārnests, prettiesisks ierobežojums personu pamattiesībām uz saimniecisko darbību, kas izpaužas kā personu tiesības piedalīties publiskos iepirkumos ar iekārtu, kuras a) likumīgā kārtā laistas civiltiesiskā apgrozībā Eiropas Savienības dalībvalstīs un b) atbilst medicīnas diagnostikas iekārtu specializētās nozares Eiropas Savienības līmenī jau harmonizētu tiesību aktu drošības un kvalitātes prasībām; un c) laistas brīvā apgrozībā Eiropas Savienības dalībvalstīs un pieslēgtas vairāku dalībvalstu kritiskās infrastruktūras subjektu paaugstinātas drošības sistēmām, un kuru vienīgais mīnuss ir teiktais, ka tās ražotāja izcelsmes pilsonība ir ārpus Eiropas Savienības.</w:t>
            </w:r>
          </w:p>
          <w:p w14:paraId="37FC89B3" w14:textId="77777777" w:rsidR="004256E5" w:rsidRPr="001A7119" w:rsidRDefault="004256E5" w:rsidP="00544892">
            <w:pPr>
              <w:rPr>
                <w:color w:val="auto"/>
              </w:rPr>
            </w:pPr>
          </w:p>
          <w:p w14:paraId="6E3B595D" w14:textId="77777777" w:rsidR="004256E5" w:rsidRPr="001A7119" w:rsidRDefault="004256E5" w:rsidP="00544892">
            <w:pPr>
              <w:rPr>
                <w:color w:val="auto"/>
              </w:rPr>
            </w:pPr>
            <w:r w:rsidRPr="001A7119">
              <w:rPr>
                <w:color w:val="auto"/>
              </w:rPr>
              <w:t>94.punkta ierobežojuma redakcija ir atklāti diskriminējoša</w:t>
            </w:r>
          </w:p>
          <w:p w14:paraId="75E02D9B" w14:textId="77777777" w:rsidR="004256E5" w:rsidRPr="001A7119" w:rsidRDefault="004256E5" w:rsidP="00544892">
            <w:pPr>
              <w:rPr>
                <w:color w:val="auto"/>
              </w:rPr>
            </w:pPr>
            <w:r w:rsidRPr="001A7119">
              <w:rPr>
                <w:color w:val="auto"/>
              </w:rPr>
              <w:lastRenderedPageBreak/>
              <w:t>[1.2] Ar Projekta jaunāko redakciju Aizsardzības ministrija ir atmetusi izlikšanos, ka 94.punkts nav vērsts tikai pret vienu tiesību subjektu, Ķīnas Tautas Republiku, turpmāk - ĶTR. Papildinot 94.punktā selektīvo katalogu ar valstīm, ar kurām Latvijas tirdzniecības apjomi salīdzinoši ar ĶTR ir būtiski zemāki, Aizsardzības ministrijas 94.punkta redzējums veido atklāti diskriminējošu kvantitatīviem ierobežojumiem līdzvērtīgu tiesību normu tiesisko sastāvu.</w:t>
            </w:r>
          </w:p>
          <w:p w14:paraId="34429802" w14:textId="77777777" w:rsidR="004256E5" w:rsidRPr="001A7119" w:rsidRDefault="004256E5" w:rsidP="00544892">
            <w:pPr>
              <w:rPr>
                <w:color w:val="auto"/>
              </w:rPr>
            </w:pPr>
          </w:p>
          <w:p w14:paraId="79CE5293" w14:textId="77777777" w:rsidR="004256E5" w:rsidRPr="001A7119" w:rsidRDefault="004256E5" w:rsidP="00544892">
            <w:pPr>
              <w:rPr>
                <w:color w:val="auto"/>
              </w:rPr>
            </w:pPr>
            <w:r w:rsidRPr="001A7119">
              <w:rPr>
                <w:color w:val="auto"/>
              </w:rPr>
              <w:t>[1.3] No faktiskā viedokļa ĶTR, ir otrs lielākais ES tirdzniecības partneris. Arī Latvijai ĶTR ir viens no nozīmīgajiem tirdzniecības partneriem. Nozarēs, kā elektroniskās iekārtas un tehnoloģijas – pats nozīmīgākais (aiz Lietuvas Republikas). Latvijas imports no Ķīnas 2023.gadā bija teju miljards EUR, eksports ap 240 milj EUR (un tas ir neiekļaujot ES valstis, kuras eksportē uz Ķīnu caur LV).</w:t>
            </w:r>
          </w:p>
          <w:p w14:paraId="7B42C709" w14:textId="77777777" w:rsidR="004256E5" w:rsidRPr="001A7119" w:rsidRDefault="004256E5" w:rsidP="00544892">
            <w:pPr>
              <w:rPr>
                <w:color w:val="auto"/>
              </w:rPr>
            </w:pPr>
          </w:p>
          <w:p w14:paraId="4BDAAB5D" w14:textId="77777777" w:rsidR="004256E5" w:rsidRPr="001A7119" w:rsidRDefault="004256E5" w:rsidP="00544892">
            <w:pPr>
              <w:rPr>
                <w:color w:val="auto"/>
              </w:rPr>
            </w:pPr>
            <w:r w:rsidRPr="001A7119">
              <w:rPr>
                <w:color w:val="auto"/>
              </w:rPr>
              <w:lastRenderedPageBreak/>
              <w:t>94.punkta ierobežojums ir pretrunā ES tiesību aktiem un Kiberdrošības direktīvas mērķiem</w:t>
            </w:r>
          </w:p>
          <w:p w14:paraId="1EECFBCF" w14:textId="77777777" w:rsidR="004256E5" w:rsidRPr="001A7119" w:rsidRDefault="004256E5" w:rsidP="00544892">
            <w:pPr>
              <w:rPr>
                <w:color w:val="auto"/>
              </w:rPr>
            </w:pPr>
            <w:r w:rsidRPr="001A7119">
              <w:rPr>
                <w:color w:val="auto"/>
              </w:rPr>
              <w:t xml:space="preserve">[2.1] No tiesību viedokļa, Aizsardzības ministrijai nav tiesības izdot preču brīvas aprites kvantitatīviem ierobežojumiem līdzvērtīgus noteikumus, kuru ierobežojums ietekmē specializēto nozari, kurā Eiropas Savienības līmenī harmonizēti tiesību akti ar speciālo regulējumu - Eiropas Parlamenta un Padomes Regulu (ES) 2017/745 (2017. gada 5. aprīlis), kas attiecas uz medicīniskām ierīcēm, ar ko groza Direktīvu 2001/83/EK, Regulu (EK) Nr. 178/2002 un Regulu (EK) Nr. 1223/2009 un atceļ Padomes Direktīvas 90/385/EK un 93/42/EEK, turpmāk – Regula. 94.punkts ir pretrunā aizliegumam dalībvalstij izdot atklāti diskriminējošus preču brīvas aprites kvantitatīviem ierobežojumiem līdzvērtīgus noteikumus, kuru ierobežojums ietekmē specializēto nozari, kurā Eiropas Savienības līmenī harmonizēti tiesību akti ar speciālo regulējumu (skatīt </w:t>
            </w:r>
            <w:r w:rsidRPr="001A7119">
              <w:rPr>
                <w:color w:val="auto"/>
              </w:rPr>
              <w:lastRenderedPageBreak/>
              <w:t>Eiropas Savienības Tiesas 1979. gada 20. februāra spriedumu lietā Nr. 120/78 Rewe-Zentral AG v Bundes monopolverwaltung für Branntwein).</w:t>
            </w:r>
          </w:p>
          <w:p w14:paraId="0484F2B2" w14:textId="77777777" w:rsidR="004256E5" w:rsidRPr="001A7119" w:rsidRDefault="004256E5" w:rsidP="00544892">
            <w:pPr>
              <w:rPr>
                <w:color w:val="auto"/>
              </w:rPr>
            </w:pPr>
          </w:p>
          <w:p w14:paraId="7B5F3681" w14:textId="77777777" w:rsidR="004256E5" w:rsidRPr="001A7119" w:rsidRDefault="004256E5" w:rsidP="00544892">
            <w:pPr>
              <w:rPr>
                <w:color w:val="auto"/>
              </w:rPr>
            </w:pPr>
            <w:r w:rsidRPr="001A7119">
              <w:rPr>
                <w:color w:val="auto"/>
              </w:rPr>
              <w:t>[2.2] Aizsardzības ministrijai tāpat nav tiesības izdot atklāti diskriminējošus preču brīvas aprites kvantitatīviem ierobežojumiem līdzvērtīgus noteikumus pret tādām ārpus Eiropas Savienības izcelsmes pilsonības ražotāju iekārtām, kuras 1) likumīgā kārtā laistas civiltiesiskā apgrozībā Eiropas Savienības dalībvalstīs un 2) atbilst Eiropas Savienības speciālā regulējuma nozarē drošības un kvalitātes atbilstības prasībām. Minēto aizliedz Satversmes 105.panta pirmie trīs teikumi un Līgums par Eiropas Savienības Darbību.</w:t>
            </w:r>
          </w:p>
          <w:p w14:paraId="0EBAFAA3" w14:textId="77777777" w:rsidR="004256E5" w:rsidRPr="001A7119" w:rsidRDefault="004256E5" w:rsidP="00544892">
            <w:pPr>
              <w:rPr>
                <w:color w:val="auto"/>
              </w:rPr>
            </w:pPr>
          </w:p>
          <w:p w14:paraId="362DF7C9" w14:textId="77777777" w:rsidR="004256E5" w:rsidRPr="001A7119" w:rsidRDefault="004256E5" w:rsidP="00544892">
            <w:pPr>
              <w:rPr>
                <w:color w:val="auto"/>
              </w:rPr>
            </w:pPr>
            <w:r w:rsidRPr="001A7119">
              <w:rPr>
                <w:color w:val="auto"/>
              </w:rPr>
              <w:t xml:space="preserve">[2.3] Projekta 94.punktā iestrādātais ierobežojums ārpakalpojuma sniedzējiem IKT subjektiem piedāvāt tikai noteiktas izcelsmes valsts pilsonības tehniskā resursa ražotāju ir Satversmes 105.panta </w:t>
            </w:r>
            <w:r w:rsidRPr="001A7119">
              <w:rPr>
                <w:color w:val="auto"/>
              </w:rPr>
              <w:lastRenderedPageBreak/>
              <w:t>personu pamattiesību uz īpašumu un tiesībām veikt saimniecisko darbību pārkāpums. Satversmes tiesas judikatūrā skaidrots, ka 105. pants garantē aizsardzību visām mantiskā rakstura tiesībām, t.sk., tiesībām uz komercdarbības veikšanu, t.sk., publiskajos iepirkumos piedāvāt iekārtas, kuru preces ražotas ārpus ES.</w:t>
            </w:r>
          </w:p>
          <w:p w14:paraId="1C87B92E" w14:textId="77777777" w:rsidR="004256E5" w:rsidRPr="001A7119" w:rsidRDefault="004256E5" w:rsidP="00544892">
            <w:pPr>
              <w:rPr>
                <w:color w:val="auto"/>
              </w:rPr>
            </w:pPr>
          </w:p>
          <w:p w14:paraId="1DD7E76A" w14:textId="77777777" w:rsidR="004256E5" w:rsidRPr="001A7119" w:rsidRDefault="004256E5" w:rsidP="00544892">
            <w:pPr>
              <w:rPr>
                <w:color w:val="auto"/>
              </w:rPr>
            </w:pPr>
            <w:r w:rsidRPr="001A7119">
              <w:rPr>
                <w:color w:val="auto"/>
              </w:rPr>
              <w:t>94.punkta pienākums atbilst Eiropas Savienības tiesību pārākuma principam</w:t>
            </w:r>
          </w:p>
          <w:p w14:paraId="7ED58ED7" w14:textId="77777777" w:rsidR="004256E5" w:rsidRPr="001A7119" w:rsidRDefault="004256E5" w:rsidP="00544892">
            <w:pPr>
              <w:rPr>
                <w:color w:val="auto"/>
              </w:rPr>
            </w:pPr>
            <w:r w:rsidRPr="001A7119">
              <w:rPr>
                <w:color w:val="auto"/>
              </w:rPr>
              <w:t>[2.4] Eiropas Savienības tiesības ir tieši piemērojamas, ar tiešu iedarbību un tās bauda pārākumu pār nacionālajām tiesībām (skat. Eiropas Savienības tiesības I. daļa. Institucionālās tiesības. Autoru kolektīvs Christoph Schevve (Kristofa Ševes), Arņa Bukas, Kaspara Gailīša, Ģirta Strazdiņa zinātniskajā redakcijā. Tiesu namu aģentūra. 2014. 26.lpp). Tas nozīmē, ka 94.punktam, jāatbilst ne tikai valsts pamatlikumam, bet arī Eiropas Savienības tiesībām kā augstāka spēka tiesību normai un EST judikatūrai.</w:t>
            </w:r>
          </w:p>
          <w:p w14:paraId="61D5DD4B" w14:textId="77777777" w:rsidR="004256E5" w:rsidRPr="001A7119" w:rsidRDefault="004256E5" w:rsidP="00544892">
            <w:pPr>
              <w:rPr>
                <w:color w:val="auto"/>
              </w:rPr>
            </w:pPr>
          </w:p>
          <w:p w14:paraId="64976494" w14:textId="77777777" w:rsidR="004256E5" w:rsidRPr="001A7119" w:rsidRDefault="004256E5" w:rsidP="00544892">
            <w:pPr>
              <w:rPr>
                <w:color w:val="auto"/>
              </w:rPr>
            </w:pPr>
            <w:r w:rsidRPr="001A7119">
              <w:rPr>
                <w:color w:val="auto"/>
              </w:rPr>
              <w:lastRenderedPageBreak/>
              <w:t>[2.6] 94.punkta ierobežojums ir pretrunā aizliegumam dalībvalstij izdot atklāti diskriminējošus preču brīvas aprites kvantitatīviem ierobežojumiem līdzvērtīgus noteikumus, kuru ierobežojums ietekmē specializēto nozari, kurā Eiropas Savienības līmenī harmonizēti tiesību akti ar speciālo regulējumu pret iekārtām, kuras 1) likumīgā kārtā laistas civiltiesiskā apgrozībā Eiropas Savienības dalībvalstīs un 2) atbilst Eiropas Savienības speciālā regulējuma nozarē drošības un kvalitātes atbilstības prasībām.</w:t>
            </w:r>
          </w:p>
          <w:p w14:paraId="1EFA75E8" w14:textId="77777777" w:rsidR="004256E5" w:rsidRPr="001A7119" w:rsidRDefault="004256E5" w:rsidP="00544892">
            <w:pPr>
              <w:rPr>
                <w:color w:val="auto"/>
              </w:rPr>
            </w:pPr>
          </w:p>
          <w:p w14:paraId="098A0D97" w14:textId="77777777" w:rsidR="004256E5" w:rsidRPr="001A7119" w:rsidRDefault="004256E5" w:rsidP="00544892">
            <w:pPr>
              <w:rPr>
                <w:color w:val="auto"/>
              </w:rPr>
            </w:pPr>
            <w:r w:rsidRPr="001A7119">
              <w:rPr>
                <w:color w:val="auto"/>
              </w:rPr>
              <w:t xml:space="preserve">[2.7] Projekta 94.pantā ieliekot “tehniskā resursa ražotāja” ierobežojumu Projektā ir pārkāpts ES preču brīvas aprites kodols, Līguma par Eiropas Savienības darbību, turpmāk – LESD, 28., 29., un 34.pants,  Eiropas Savienības Pamattiesību Hartā, turpmāk – ESPH, 16.pants, un Direktīvas (ES) 2022/2555 (2022. gada 14. decembris), ar ko paredz </w:t>
            </w:r>
            <w:r w:rsidRPr="001A7119">
              <w:rPr>
                <w:color w:val="auto"/>
              </w:rPr>
              <w:lastRenderedPageBreak/>
              <w:t>pasākumus nolūkā panākt vienādi augstu kiberdrošības līmeni visā Savienībā[1], turpmāk – Kiberdrošības direktīva, 142.apsvērums, kas ir Projekta deleģējuma pirmavots.</w:t>
            </w:r>
          </w:p>
          <w:p w14:paraId="10381833" w14:textId="77777777" w:rsidR="004256E5" w:rsidRPr="001A7119" w:rsidRDefault="004256E5" w:rsidP="00544892">
            <w:pPr>
              <w:rPr>
                <w:color w:val="auto"/>
              </w:rPr>
            </w:pPr>
          </w:p>
          <w:p w14:paraId="530514CC" w14:textId="77777777" w:rsidR="004256E5" w:rsidRPr="001A7119" w:rsidRDefault="004256E5" w:rsidP="00544892">
            <w:pPr>
              <w:rPr>
                <w:color w:val="auto"/>
              </w:rPr>
            </w:pPr>
            <w:r w:rsidRPr="001A7119">
              <w:rPr>
                <w:color w:val="auto"/>
              </w:rPr>
              <w:t xml:space="preserve">EST judikatūrā ir noteikts, ka no LESD dalībvalstīm izriet saistošs pienākums nodrošināt preču brīvas aprites garantijas un ir aizliegts paredzēt brīvu preču apriti ierobežojošus noteikumus, kas var tieši vai netieši, faktiski vai tikai iespējami traucēt ES teritorijā likumīgi apgrozībā laistu preču apriti. Preču aprites aizliegums attiecas arī uz no trešajām valstīm ievestajiem ražojumiem, kas, neatkarīgi no to sākotnējās izcelsmes, ir likumīgi ievesti un laisti brīvā apgrozībā kādā no dalībvalstīm. (skatīt, EST 1974.gada 11.jūlija judikatūru spriedumā lietā nr.8/74/ Dassonville, EST 2009.gada 10.februāra spriedums lietā nr.C-110/05 Komisija vs Itālija; EST 2007.gada 17.aprīļa spriedumu lietā nr.C-470/03 A.G.M.-COS.MET; EST 2007.gada </w:t>
            </w:r>
            <w:r w:rsidRPr="001A7119">
              <w:rPr>
                <w:color w:val="auto"/>
              </w:rPr>
              <w:lastRenderedPageBreak/>
              <w:t>5.novembra spriedums lietā nr. C-319/05 Komisija vs Vācija).</w:t>
            </w:r>
          </w:p>
          <w:p w14:paraId="04FBBFC3" w14:textId="77777777" w:rsidR="004256E5" w:rsidRPr="001A7119" w:rsidRDefault="004256E5" w:rsidP="00544892">
            <w:pPr>
              <w:rPr>
                <w:color w:val="auto"/>
              </w:rPr>
            </w:pPr>
          </w:p>
          <w:p w14:paraId="48F853A9" w14:textId="77777777" w:rsidR="004256E5" w:rsidRPr="001A7119" w:rsidRDefault="004256E5" w:rsidP="00544892">
            <w:pPr>
              <w:rPr>
                <w:color w:val="auto"/>
              </w:rPr>
            </w:pPr>
            <w:r w:rsidRPr="001A7119">
              <w:rPr>
                <w:color w:val="auto"/>
              </w:rPr>
              <w:t>94.punkta ierobežojuma neatbilstība preču brīvas aprites garantijai</w:t>
            </w:r>
          </w:p>
          <w:p w14:paraId="79AE6098" w14:textId="77777777" w:rsidR="004256E5" w:rsidRPr="001A7119" w:rsidRDefault="004256E5" w:rsidP="00544892">
            <w:pPr>
              <w:rPr>
                <w:color w:val="auto"/>
              </w:rPr>
            </w:pPr>
            <w:r w:rsidRPr="001A7119">
              <w:rPr>
                <w:color w:val="auto"/>
              </w:rPr>
              <w:t>[2.8] Attiecinot šīs prasības uz Projekta 94.punktu būtu jābūt tā, ka ja iekārta, kas ražota t.sk., ĶTR, likumīgi ievesta un laista apgrozībā ES dalībvalstī izpildot Regulas prasības, to bez diskriminējošiem ierobežojumiem attiecībā uz šīs iekārtas ražotāja izcelsmi, ir jāvar ne tikai brīvi laist apritē, bet arī piedāvāt netraucēti iegādāties Projekta subjektiem.</w:t>
            </w:r>
          </w:p>
          <w:p w14:paraId="31BC9E22" w14:textId="77777777" w:rsidR="004256E5" w:rsidRPr="001A7119" w:rsidRDefault="004256E5" w:rsidP="00544892">
            <w:pPr>
              <w:rPr>
                <w:color w:val="auto"/>
              </w:rPr>
            </w:pPr>
          </w:p>
          <w:p w14:paraId="2C0B3C05" w14:textId="77777777" w:rsidR="004256E5" w:rsidRPr="001A7119" w:rsidRDefault="004256E5" w:rsidP="00544892">
            <w:pPr>
              <w:rPr>
                <w:color w:val="auto"/>
              </w:rPr>
            </w:pPr>
            <w:r w:rsidRPr="001A7119">
              <w:rPr>
                <w:color w:val="auto"/>
              </w:rPr>
              <w:t>[2.9] Asociācija vairākkārtīgi norādījusi, ka Latvijas veselības aprūpes tehniskā resursa imports no Ķīnas veido valsts budžetam nozīmīgu veselības aprūpes tehniskā resursa īpatsvaru. Absolūtais vairākums no šīm iekārtām ir jau likumīgi importēts un pieejams civiltiesiskā apritē vairumā ES dalībvalstīs, t.sk., arī pie kritiskās infrastruktūras un būtisko pakalpojumu sniedzēju subjektiem.</w:t>
            </w:r>
          </w:p>
          <w:p w14:paraId="460A5219" w14:textId="77777777" w:rsidR="004256E5" w:rsidRPr="001A7119" w:rsidRDefault="004256E5" w:rsidP="00544892">
            <w:pPr>
              <w:rPr>
                <w:color w:val="auto"/>
              </w:rPr>
            </w:pPr>
          </w:p>
          <w:p w14:paraId="14FC7176" w14:textId="77777777" w:rsidR="004256E5" w:rsidRPr="001A7119" w:rsidRDefault="004256E5" w:rsidP="00544892">
            <w:pPr>
              <w:rPr>
                <w:color w:val="auto"/>
              </w:rPr>
            </w:pPr>
            <w:r w:rsidRPr="001A7119">
              <w:rPr>
                <w:color w:val="auto"/>
              </w:rPr>
              <w:t>[2.10] Tā, piemēram, Asociācijas biedru pārstāvēto Ķīnas izcelsmes ražotāju medicīnas tehnoloģijas likumīgi ievestas un uzstādītas pie kritiskās infrastruktūras un būtisko pakalpojumu sniedzēju subjektiem Eiropas Savienībā vairāk kā divi tūkstoši infrastruktūrās, vairāk kā desmit ES dalībvalstīs. Mūsu biedri pārstāv Ķīnas ražotājus, kuru starpā ir viens no lielā med-tehnoloģiju četrinieka, tā akcijas emitētas visos pasaules NASDAQ (t.sk., arī LV), un tā ražotās iekārtas atbilst kvalitātes un drošības atbilstības prasībām saskaņā ar Eiropas Parlamenta un Padomes Regulu (ES) 2017/745, kas attiecas uz medicīniskām ierīcēm, UN par tiem nav neviena kiberincidenta precedenta.</w:t>
            </w:r>
          </w:p>
          <w:p w14:paraId="33997051" w14:textId="77777777" w:rsidR="004256E5" w:rsidRPr="001A7119" w:rsidRDefault="004256E5" w:rsidP="00544892">
            <w:pPr>
              <w:rPr>
                <w:color w:val="auto"/>
              </w:rPr>
            </w:pPr>
          </w:p>
          <w:p w14:paraId="2076B2F6" w14:textId="77777777" w:rsidR="004256E5" w:rsidRPr="001A7119" w:rsidRDefault="004256E5" w:rsidP="00544892">
            <w:pPr>
              <w:rPr>
                <w:color w:val="auto"/>
              </w:rPr>
            </w:pPr>
            <w:r w:rsidRPr="001A7119">
              <w:rPr>
                <w:color w:val="auto"/>
              </w:rPr>
              <w:t xml:space="preserve">[2.11] Līdz ar to, Projekta 94.punktā iekļaujot vārdus “tehniskā resursa ražotājs”, ne tikai tiek nav ievēroti Kiberdrošības direktīvas mērķi, Satversme, un LESD ievērojamās garantijas – ar vārdiem “tehniskā resursa ražotājs” Projekts aizskar </w:t>
            </w:r>
            <w:r w:rsidRPr="001A7119">
              <w:rPr>
                <w:color w:val="auto"/>
              </w:rPr>
              <w:lastRenderedPageBreak/>
              <w:t>pašu ES preču brīvas aprites kodolu.</w:t>
            </w:r>
          </w:p>
          <w:p w14:paraId="04BC518D" w14:textId="77777777" w:rsidR="004256E5" w:rsidRPr="001A7119" w:rsidRDefault="004256E5" w:rsidP="00544892">
            <w:pPr>
              <w:rPr>
                <w:color w:val="auto"/>
              </w:rPr>
            </w:pPr>
          </w:p>
          <w:p w14:paraId="47913AF4" w14:textId="77777777" w:rsidR="004256E5" w:rsidRPr="001A7119" w:rsidRDefault="004256E5" w:rsidP="00544892">
            <w:pPr>
              <w:rPr>
                <w:color w:val="auto"/>
              </w:rPr>
            </w:pPr>
            <w:r w:rsidRPr="001A7119">
              <w:rPr>
                <w:color w:val="auto"/>
              </w:rPr>
              <w:t>94.punkta ierobežojuma neatbilstība piemērotībai – alternatīva instrumenta esamība</w:t>
            </w:r>
          </w:p>
          <w:p w14:paraId="298F8D57" w14:textId="77777777" w:rsidR="004256E5" w:rsidRPr="001A7119" w:rsidRDefault="004256E5" w:rsidP="00544892">
            <w:pPr>
              <w:rPr>
                <w:color w:val="auto"/>
              </w:rPr>
            </w:pPr>
            <w:r w:rsidRPr="001A7119">
              <w:rPr>
                <w:color w:val="auto"/>
              </w:rPr>
              <w:t xml:space="preserve">[2.12] Turklāt nedz ĶTR, nedz kāds tās izcelsmes ražotājs ir starptautisko vai ES tirdzniecības ierobežojumu vai sankciju subjekti, kādi, piemēram, ir Projektā jau atlasītie Baltkrievijas vai Krievijas Federācijas izcelsmes ražotāji. Sankciju sarakstu plašā pielietošanas prakse norāda, ka likumdevēja rīcībā ir Projekta 94.punktā ierobežojuma personu pamattiesību saaudzējošāks līdzeklis – starptautiskie sankciju saraksti. Pamatojoties uz minēto instrumentu dalībvalstis un starptautiskā kopiena, pamatojoties uz pierādījumos balstītiem slēdzieniem un leģitīmu procedūru, noteikušas konkrētus subjektus, ar kuriem dalībvalstu tirdzniecība nav savienojama. Minētais instruments vienlīdz līdzvērtīgi sasniedz iespējamo leģitīmo mērķi un nepakļauj nepamatoti </w:t>
            </w:r>
            <w:r w:rsidRPr="001A7119">
              <w:rPr>
                <w:color w:val="auto"/>
              </w:rPr>
              <w:lastRenderedPageBreak/>
              <w:t>plašam absolūtam ierobežojumam personu pamattiesības uz likumīgu saimniecisko darbību un neierobežo ES preču aprites kodolu.</w:t>
            </w:r>
          </w:p>
          <w:p w14:paraId="032E0F43" w14:textId="77777777" w:rsidR="004256E5" w:rsidRPr="001A7119" w:rsidRDefault="004256E5" w:rsidP="00544892">
            <w:pPr>
              <w:rPr>
                <w:color w:val="auto"/>
              </w:rPr>
            </w:pPr>
          </w:p>
          <w:p w14:paraId="190C29DA" w14:textId="77777777" w:rsidR="004256E5" w:rsidRPr="001A7119" w:rsidRDefault="004256E5" w:rsidP="00544892">
            <w:pPr>
              <w:rPr>
                <w:color w:val="auto"/>
              </w:rPr>
            </w:pPr>
            <w:r w:rsidRPr="001A7119">
              <w:rPr>
                <w:color w:val="auto"/>
              </w:rPr>
              <w:t>ES tiesību pārākums un vertikālā iedarbība – valstij ir jānodrošina preču brīvas aprites garantija</w:t>
            </w:r>
          </w:p>
          <w:p w14:paraId="02AE3FA2" w14:textId="77777777" w:rsidR="004256E5" w:rsidRPr="001A7119" w:rsidRDefault="004256E5" w:rsidP="00544892">
            <w:pPr>
              <w:rPr>
                <w:color w:val="auto"/>
              </w:rPr>
            </w:pPr>
            <w:r w:rsidRPr="001A7119">
              <w:rPr>
                <w:color w:val="auto"/>
              </w:rPr>
              <w:t>[2.13] Turklāt LESD 28.,29., un 34.pantiem piemīt vertikāla iedarbība, kas nozīmē, ka dalībvalstu privātpersonas (t.sk., LTRK un Asociācija), ir tiesīgas pieprasīt no dalībvalsts, lai tā ievēro preču brīvas aprites garantēšanas pienākumu un dalībvalstij ir pienākums to ievērot (skatīt EST 1983.gada 12.jūlija sprieduma lietā nr.170/78 Komisija vs Apvienotā Karaliste 10 punktu;).</w:t>
            </w:r>
          </w:p>
          <w:p w14:paraId="71CBCD24" w14:textId="77777777" w:rsidR="004256E5" w:rsidRPr="001A7119" w:rsidRDefault="004256E5" w:rsidP="00544892">
            <w:pPr>
              <w:rPr>
                <w:color w:val="auto"/>
              </w:rPr>
            </w:pPr>
          </w:p>
          <w:p w14:paraId="3289CD20" w14:textId="77777777" w:rsidR="004256E5" w:rsidRPr="001A7119" w:rsidRDefault="004256E5" w:rsidP="00544892">
            <w:pPr>
              <w:rPr>
                <w:color w:val="auto"/>
              </w:rPr>
            </w:pPr>
            <w:r w:rsidRPr="001A7119">
              <w:rPr>
                <w:color w:val="auto"/>
              </w:rPr>
              <w:t xml:space="preserve">Ievērojot minēto, kā arī pamatojoties uz Projekta ES līmeņa deleģējošajām tiesību normām, Satversmes 105.pantu, ESPH 16.pantu un LESD 28., un 34.pantu un EST judikatūru par aizliegumu paredzēt noteikumos diskriminējošus preču aprites </w:t>
            </w:r>
            <w:r w:rsidRPr="001A7119">
              <w:rPr>
                <w:color w:val="auto"/>
              </w:rPr>
              <w:lastRenderedPageBreak/>
              <w:t>ierobežojumus, no Projekta 94.panta svītrojami vārdi “un tehniskā resursa ražotājs” un jebkādi citi preču ražotāja izcelsmes ierobežojumi.</w:t>
            </w:r>
          </w:p>
          <w:p w14:paraId="6B8F1685" w14:textId="77777777" w:rsidR="004256E5" w:rsidRPr="001A7119" w:rsidRDefault="004256E5" w:rsidP="00544892">
            <w:pPr>
              <w:rPr>
                <w:color w:val="auto"/>
              </w:rPr>
            </w:pPr>
          </w:p>
          <w:p w14:paraId="6B5FDA9C" w14:textId="77777777" w:rsidR="004256E5" w:rsidRPr="001A7119" w:rsidRDefault="004256E5" w:rsidP="00544892">
            <w:pPr>
              <w:rPr>
                <w:color w:val="auto"/>
              </w:rPr>
            </w:pPr>
            <w:r w:rsidRPr="001A7119">
              <w:rPr>
                <w:color w:val="auto"/>
              </w:rPr>
              <w:t>[1] 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(Dokuments attiecas uz EEZ). Pieņemta 2022. gada 14. decembrī, Eiropas Savienības Oficiālais Vēstnesis. Pieejams:  https://eur-lex.europa.eu/legal-content/EN/TXT/HTML/?uri=CELEX:32022L2555</w:t>
            </w:r>
          </w:p>
          <w:p w14:paraId="57527AE5" w14:textId="77777777" w:rsidR="004256E5" w:rsidRPr="001A7119" w:rsidRDefault="004256E5" w:rsidP="00544892">
            <w:pPr>
              <w:rPr>
                <w:color w:val="auto"/>
              </w:rPr>
            </w:pPr>
            <w:r w:rsidRPr="001A7119">
              <w:rPr>
                <w:color w:val="auto"/>
              </w:rPr>
              <w:t> </w:t>
            </w:r>
          </w:p>
          <w:p w14:paraId="12419682" w14:textId="77777777" w:rsidR="004256E5" w:rsidRPr="001A7119" w:rsidRDefault="004256E5" w:rsidP="00544892">
            <w:pPr>
              <w:spacing w:before="240" w:after="240"/>
              <w:rPr>
                <w:i/>
                <w:color w:val="auto"/>
              </w:rPr>
            </w:pPr>
            <w:r w:rsidRPr="001A7119">
              <w:rPr>
                <w:i/>
                <w:color w:val="auto"/>
              </w:rPr>
              <w:t>Piedāvātā redakcija</w:t>
            </w:r>
          </w:p>
          <w:p w14:paraId="7937C19B" w14:textId="77777777" w:rsidR="004256E5" w:rsidRPr="001A7119" w:rsidRDefault="004256E5" w:rsidP="00544892">
            <w:pPr>
              <w:rPr>
                <w:color w:val="auto"/>
              </w:rPr>
            </w:pPr>
            <w:r w:rsidRPr="001A7119">
              <w:rPr>
                <w:color w:val="auto"/>
              </w:rPr>
              <w:t>-</w:t>
            </w:r>
          </w:p>
        </w:tc>
        <w:tc>
          <w:tcPr>
            <w:tcW w:w="3388" w:type="dxa"/>
            <w:shd w:val="clear" w:color="auto" w:fill="FFFFFF"/>
            <w:noWrap/>
            <w:tcMar>
              <w:top w:w="75" w:type="dxa"/>
              <w:left w:w="75" w:type="dxa"/>
              <w:bottom w:w="75" w:type="dxa"/>
              <w:right w:w="75" w:type="dxa"/>
            </w:tcMar>
          </w:tcPr>
          <w:p w14:paraId="6B0B42FA" w14:textId="77777777" w:rsidR="004256E5" w:rsidRPr="001A7119" w:rsidRDefault="004256E5" w:rsidP="00544892">
            <w:pPr>
              <w:spacing w:after="240"/>
              <w:rPr>
                <w:b/>
                <w:szCs w:val="24"/>
              </w:rPr>
            </w:pPr>
            <w:r w:rsidRPr="001A7119">
              <w:rPr>
                <w:b/>
                <w:szCs w:val="24"/>
              </w:rPr>
              <w:lastRenderedPageBreak/>
              <w:t>Nav ņemts vērā</w:t>
            </w:r>
          </w:p>
          <w:p w14:paraId="4782B07A" w14:textId="1FEE8992" w:rsidR="001A7119" w:rsidRPr="001A7119" w:rsidRDefault="001A7119" w:rsidP="001A7119">
            <w:pPr>
              <w:ind w:firstLine="720"/>
              <w:rPr>
                <w:color w:val="auto"/>
                <w:szCs w:val="24"/>
                <w:lang w:eastAsia="en-US"/>
              </w:rPr>
            </w:pPr>
            <w:r w:rsidRPr="001A7119">
              <w:rPr>
                <w:color w:val="auto"/>
                <w:szCs w:val="24"/>
                <w:lang w:eastAsia="en-US"/>
              </w:rPr>
              <w:t xml:space="preserve">Noteikumu projekta 94. punktā ietvertā norma </w:t>
            </w:r>
            <w:r w:rsidRPr="001A7119">
              <w:rPr>
                <w:color w:val="auto"/>
                <w:szCs w:val="24"/>
                <w:u w:val="single"/>
                <w:lang w:eastAsia="en-US"/>
              </w:rPr>
              <w:t xml:space="preserve">neparedz </w:t>
            </w:r>
            <w:r w:rsidRPr="001A7119">
              <w:rPr>
                <w:color w:val="auto"/>
                <w:szCs w:val="24"/>
                <w:lang w:eastAsia="en-US"/>
              </w:rPr>
              <w:t xml:space="preserve">vispārēju </w:t>
            </w:r>
            <w:r w:rsidRPr="001A7119">
              <w:rPr>
                <w:color w:val="auto"/>
                <w:szCs w:val="24"/>
                <w:u w:val="single"/>
                <w:lang w:eastAsia="en-US"/>
              </w:rPr>
              <w:t>aizliegumu</w:t>
            </w:r>
            <w:r w:rsidRPr="001A7119">
              <w:rPr>
                <w:color w:val="auto"/>
                <w:szCs w:val="24"/>
                <w:lang w:eastAsia="en-US"/>
              </w:rPr>
              <w:t xml:space="preserve"> informācijas un komunikācijas tehnoloģiju (turpmāk – IKT) kritiskās infrastruktūras īpašniekam vai tiesiskajam valdītājam A klases informāciju sistēmai </w:t>
            </w:r>
            <w:r w:rsidRPr="001A7119">
              <w:rPr>
                <w:color w:val="auto"/>
                <w:szCs w:val="24"/>
                <w:u w:val="single"/>
                <w:lang w:eastAsia="en-US"/>
              </w:rPr>
              <w:t>nepieciešamo tehnisko resursu iegādei,</w:t>
            </w:r>
            <w:r w:rsidRPr="001A7119">
              <w:rPr>
                <w:color w:val="auto"/>
                <w:szCs w:val="24"/>
                <w:lang w:eastAsia="en-US"/>
              </w:rPr>
              <w:t xml:space="preserve"> </w:t>
            </w:r>
            <w:r w:rsidRPr="001A7119">
              <w:rPr>
                <w:color w:val="auto"/>
                <w:szCs w:val="24"/>
                <w:u w:val="single"/>
                <w:lang w:eastAsia="en-US"/>
              </w:rPr>
              <w:t>ja ārpakalpojuma sniedzējs un tehniskā resursa ražotājs nav</w:t>
            </w:r>
            <w:r w:rsidRPr="001A7119">
              <w:rPr>
                <w:color w:val="auto"/>
                <w:szCs w:val="24"/>
                <w:lang w:eastAsia="en-US"/>
              </w:rPr>
              <w:t xml:space="preserve"> no ES, NATO, EBTA dalībvalsts vai NATO Indijas un Klusā okeāna reģiona sadarbības valsts (turpmāk – IP4 valstis).</w:t>
            </w:r>
          </w:p>
          <w:p w14:paraId="7BB916E0" w14:textId="77777777" w:rsidR="001A7119" w:rsidRPr="001A7119" w:rsidRDefault="001A7119" w:rsidP="001A7119">
            <w:pPr>
              <w:rPr>
                <w:color w:val="auto"/>
                <w:szCs w:val="24"/>
                <w:lang w:eastAsia="en-US"/>
              </w:rPr>
            </w:pPr>
            <w:r w:rsidRPr="001A7119">
              <w:rPr>
                <w:color w:val="auto"/>
                <w:szCs w:val="24"/>
                <w:lang w:eastAsia="en-US"/>
              </w:rPr>
              <w:t>Noteikumu projekta 95.2. apakšpunkts nosaka, ka, šo noteikumu 94. punkta prasības nepiemēro, ja ir saņemts Satversmes aizsardzības biroja atzinums, ka līgumu var slēgt izņēmuma kārtā.</w:t>
            </w:r>
          </w:p>
          <w:p w14:paraId="6B765C17" w14:textId="77777777" w:rsidR="001A7119" w:rsidRPr="001A7119" w:rsidRDefault="001A7119" w:rsidP="001A7119">
            <w:pPr>
              <w:ind w:firstLine="720"/>
              <w:rPr>
                <w:color w:val="auto"/>
                <w:szCs w:val="24"/>
                <w:lang w:eastAsia="en-US"/>
              </w:rPr>
            </w:pPr>
            <w:r w:rsidRPr="001A7119">
              <w:rPr>
                <w:color w:val="auto"/>
                <w:szCs w:val="24"/>
                <w:lang w:eastAsia="en-US"/>
              </w:rPr>
              <w:t xml:space="preserve">Noteikumu projekts ir izstrādāts, lai pilnībā ieviestu nacionālajās tiesībās NIS2 </w:t>
            </w:r>
            <w:r w:rsidRPr="001A7119">
              <w:rPr>
                <w:color w:val="auto"/>
                <w:szCs w:val="24"/>
                <w:lang w:eastAsia="en-US"/>
              </w:rPr>
              <w:lastRenderedPageBreak/>
              <w:t>direktīvas</w:t>
            </w:r>
            <w:r w:rsidRPr="001A7119">
              <w:rPr>
                <w:color w:val="auto"/>
                <w:szCs w:val="24"/>
                <w:vertAlign w:val="superscript"/>
                <w:lang w:eastAsia="en-US"/>
              </w:rPr>
              <w:footnoteReference w:id="1"/>
            </w:r>
            <w:r w:rsidRPr="001A7119">
              <w:rPr>
                <w:color w:val="auto"/>
                <w:szCs w:val="24"/>
                <w:lang w:eastAsia="en-US"/>
              </w:rPr>
              <w:t xml:space="preserve"> prasības. Minētās direktīvas 21. panta pirmajā daļā ir noteikts, ka dalībvalstis nodrošina, ka būtiskās un svarīgās vienības veic atbilstīgus un samērīgus tehniskos, operatīvos un organizatoriskos pasākumus, lai pārvaldītu riskus to tīklu un informācijas sistēmu drošībai, ko tās izmanto savā darbībā vai savu pakalpojumu sniegšanā, un novērstu vai līdz minimumam samazinātu incidentu ietekmi uz pakalpojumu saņēmējiem un uz citiem pakalpojumiem.</w:t>
            </w:r>
          </w:p>
          <w:p w14:paraId="36B7CD66" w14:textId="77777777" w:rsidR="001A7119" w:rsidRPr="001A7119" w:rsidRDefault="001A7119" w:rsidP="001A7119">
            <w:pPr>
              <w:ind w:firstLine="720"/>
              <w:rPr>
                <w:color w:val="auto"/>
                <w:szCs w:val="24"/>
                <w:lang w:eastAsia="en-US"/>
              </w:rPr>
            </w:pPr>
            <w:r w:rsidRPr="001A7119">
              <w:rPr>
                <w:color w:val="auto"/>
                <w:szCs w:val="24"/>
                <w:lang w:eastAsia="en-US"/>
              </w:rPr>
              <w:t>Minētā direktīvas panta otrajā daļā ir noteikts, ka pasākumu, kas minēti 1. punktā, pamatā ir visu apdraudējumu pieeja, kuras mērķis ir aizsargāt tīklu un informācijas sistēmas un šo sistēmu fizisko vidi no incidentiem, un tie ietver vismaz:</w:t>
            </w:r>
          </w:p>
          <w:p w14:paraId="444FA363" w14:textId="77777777" w:rsidR="001A7119" w:rsidRPr="001A7119" w:rsidRDefault="001A7119" w:rsidP="001A7119">
            <w:pPr>
              <w:rPr>
                <w:color w:val="auto"/>
                <w:szCs w:val="24"/>
                <w:lang w:eastAsia="en-US"/>
              </w:rPr>
            </w:pPr>
            <w:r w:rsidRPr="001A7119">
              <w:rPr>
                <w:color w:val="auto"/>
                <w:szCs w:val="24"/>
                <w:lang w:eastAsia="en-US"/>
              </w:rPr>
              <w:t xml:space="preserve">[..] d) </w:t>
            </w:r>
            <w:r w:rsidRPr="001A7119">
              <w:rPr>
                <w:color w:val="auto"/>
                <w:szCs w:val="24"/>
                <w:u w:val="single"/>
                <w:lang w:eastAsia="en-US"/>
              </w:rPr>
              <w:t>piegādes ķēdes drošību, tostarp ar drošību saistītus aspektus, kas skar attiecības starp katru vienību un tās tiešajiem piegādātājiem vai pakalpojumu sniedzējiem</w:t>
            </w:r>
            <w:r w:rsidRPr="001A7119">
              <w:rPr>
                <w:color w:val="auto"/>
                <w:szCs w:val="24"/>
                <w:lang w:eastAsia="en-US"/>
              </w:rPr>
              <w:t xml:space="preserve">. </w:t>
            </w:r>
          </w:p>
          <w:p w14:paraId="3E3BE4EE" w14:textId="77777777" w:rsidR="001A7119" w:rsidRPr="001A7119" w:rsidRDefault="001A7119" w:rsidP="001A7119">
            <w:pPr>
              <w:rPr>
                <w:color w:val="auto"/>
                <w:szCs w:val="24"/>
                <w:lang w:eastAsia="en-US"/>
              </w:rPr>
            </w:pPr>
            <w:r w:rsidRPr="001A7119">
              <w:rPr>
                <w:color w:val="auto"/>
                <w:szCs w:val="24"/>
                <w:lang w:eastAsia="en-US"/>
              </w:rPr>
              <w:lastRenderedPageBreak/>
              <w:t>Papildus NIS2 direktīvas apsvērumu 85. punktā cita starpā noteikts, ka būtiskās un svarīgās vienības jo īpaši būtu jāmudina iekļaut kiberdrošības risku pārvaldības pasākumus līgumattiecībās ar saviem tiešajiem piegādātājiem un pakalpojumu sniedzējiem. Minētās vienības varētu izsvērt riskus, kas izriet no citiem piegādātāju un pakalpojumu sniedzēju līmeņiem.</w:t>
            </w:r>
          </w:p>
          <w:p w14:paraId="4451BB49" w14:textId="77777777" w:rsidR="001A7119" w:rsidRPr="001A7119" w:rsidRDefault="001A7119" w:rsidP="001A7119">
            <w:pPr>
              <w:ind w:firstLine="720"/>
              <w:rPr>
                <w:color w:val="auto"/>
                <w:szCs w:val="24"/>
                <w:lang w:eastAsia="en-US"/>
              </w:rPr>
            </w:pPr>
            <w:r w:rsidRPr="001A7119">
              <w:rPr>
                <w:color w:val="auto"/>
                <w:szCs w:val="24"/>
                <w:lang w:eastAsia="en-US"/>
              </w:rPr>
              <w:t>Līguma par Eiropas Savienības darbību (turpmāk – LESD) 36. pants nosaka, ka šā Līguma 34. un 35. pants neliedz noteikt importa, eksporta vai tranzīta aizliegumus vai ierobežojumus, kas pamatojas uz sabiedrības morāles, sabiedriskās kārtības vai valsts drošības apsvērumiem[..].</w:t>
            </w:r>
          </w:p>
          <w:p w14:paraId="0E8AAE92" w14:textId="77777777" w:rsidR="001A7119" w:rsidRPr="001A7119" w:rsidRDefault="001A7119" w:rsidP="001A7119">
            <w:pPr>
              <w:ind w:firstLine="720"/>
              <w:rPr>
                <w:color w:val="auto"/>
                <w:szCs w:val="24"/>
                <w:lang w:eastAsia="en-US"/>
              </w:rPr>
            </w:pPr>
            <w:r w:rsidRPr="001A7119">
              <w:rPr>
                <w:color w:val="auto"/>
                <w:szCs w:val="24"/>
                <w:lang w:eastAsia="en-US"/>
              </w:rPr>
              <w:t xml:space="preserve">Tāds pats princips izriet no LESD 52. panta – uzņēmējdarbības un pakalpojumu sniegšanas brīvība var tikt ierobežota: </w:t>
            </w:r>
            <w:r w:rsidRPr="001A7119">
              <w:rPr>
                <w:color w:val="0E0E0E"/>
                <w:szCs w:val="24"/>
                <w:lang w:eastAsia="en-US"/>
              </w:rPr>
              <w:t xml:space="preserve">“sabiedriskās kārtības, sabiedriskās drošības vai sabiedrības veselības apsvērumu dēļ.”. </w:t>
            </w:r>
          </w:p>
          <w:p w14:paraId="7957E2B7" w14:textId="77777777" w:rsidR="001A7119" w:rsidRPr="001A7119" w:rsidRDefault="001A7119" w:rsidP="001A7119">
            <w:pPr>
              <w:ind w:firstLine="720"/>
              <w:rPr>
                <w:color w:val="auto"/>
                <w:szCs w:val="24"/>
                <w:lang w:eastAsia="en-US"/>
              </w:rPr>
            </w:pPr>
            <w:r w:rsidRPr="001A7119">
              <w:rPr>
                <w:color w:val="0E0E0E"/>
                <w:szCs w:val="24"/>
                <w:lang w:eastAsia="en-US"/>
              </w:rPr>
              <w:lastRenderedPageBreak/>
              <w:t>Savukārt no LESD</w:t>
            </w:r>
            <w:r w:rsidRPr="001A7119">
              <w:rPr>
                <w:color w:val="auto"/>
                <w:szCs w:val="24"/>
                <w:lang w:eastAsia="en-US"/>
              </w:rPr>
              <w:t xml:space="preserve"> 4. panta 2. punkta izriet, ka valsts drošība ir katras dalībvalsts atbildība. Tātad </w:t>
            </w:r>
            <w:r w:rsidRPr="001A7119">
              <w:rPr>
                <w:color w:val="auto"/>
                <w:szCs w:val="24"/>
                <w:u w:val="single"/>
                <w:lang w:eastAsia="en-US"/>
              </w:rPr>
              <w:t>valsts drošība ir atzīts un objektīvs mērķis, kas var pamatot atkāpes no ES brīvās preču aprites principa</w:t>
            </w:r>
            <w:r w:rsidRPr="001A7119">
              <w:rPr>
                <w:color w:val="auto"/>
                <w:szCs w:val="24"/>
                <w:lang w:eastAsia="en-US"/>
              </w:rPr>
              <w:t>, taču tā piemērošanai jāiztur samērīguma tests, vienlaikus, pat ja mērķis (nacionālā drošība) ir leģitīms un objektīvs, jebkurš ierobežojums jāizvērtē pēc samērīguma principa, kas ir viens no ES pamatprincipiem. Lai izvērtētu samērīgumu ir nepieciešams izvērtēt, vai ierobežojumi piemērojami tikai tiktāl, cik tas ir:</w:t>
            </w:r>
          </w:p>
          <w:p w14:paraId="3BA171DA" w14:textId="77777777" w:rsidR="001A7119" w:rsidRPr="001A7119" w:rsidRDefault="001A7119" w:rsidP="001A7119">
            <w:pPr>
              <w:numPr>
                <w:ilvl w:val="0"/>
                <w:numId w:val="1"/>
              </w:numPr>
              <w:contextualSpacing/>
              <w:jc w:val="left"/>
              <w:rPr>
                <w:color w:val="0E0E0E"/>
                <w:szCs w:val="24"/>
                <w:lang w:eastAsia="en-US"/>
              </w:rPr>
            </w:pPr>
            <w:r w:rsidRPr="001A7119">
              <w:rPr>
                <w:color w:val="0E0E0E"/>
                <w:szCs w:val="24"/>
                <w:lang w:eastAsia="en-US"/>
              </w:rPr>
              <w:t>nepieciešams Latvijas nacionālās drošības aizsardzībai,</w:t>
            </w:r>
          </w:p>
          <w:p w14:paraId="3B999D46" w14:textId="77777777" w:rsidR="001A7119" w:rsidRPr="001A7119" w:rsidRDefault="001A7119" w:rsidP="001A7119">
            <w:pPr>
              <w:numPr>
                <w:ilvl w:val="0"/>
                <w:numId w:val="1"/>
              </w:numPr>
              <w:contextualSpacing/>
              <w:jc w:val="left"/>
              <w:rPr>
                <w:color w:val="0E0E0E"/>
                <w:szCs w:val="24"/>
                <w:lang w:eastAsia="en-US"/>
              </w:rPr>
            </w:pPr>
            <w:r w:rsidRPr="001A7119">
              <w:rPr>
                <w:color w:val="0E0E0E"/>
                <w:szCs w:val="24"/>
                <w:lang w:eastAsia="en-US"/>
              </w:rPr>
              <w:t>samērīgs ar iespējamo apdraudējumu,</w:t>
            </w:r>
          </w:p>
          <w:p w14:paraId="0F33618C" w14:textId="77777777" w:rsidR="001A7119" w:rsidRPr="001A7119" w:rsidRDefault="001A7119" w:rsidP="001A7119">
            <w:pPr>
              <w:numPr>
                <w:ilvl w:val="0"/>
                <w:numId w:val="1"/>
              </w:numPr>
              <w:contextualSpacing/>
              <w:jc w:val="left"/>
              <w:rPr>
                <w:color w:val="0E0E0E"/>
                <w:szCs w:val="24"/>
                <w:lang w:eastAsia="en-US"/>
              </w:rPr>
            </w:pPr>
            <w:r w:rsidRPr="001A7119">
              <w:rPr>
                <w:color w:val="0E0E0E"/>
                <w:szCs w:val="24"/>
                <w:lang w:eastAsia="en-US"/>
              </w:rPr>
              <w:t>piemērots tikai tiem risinājumiem, kas būtiski ietekmē sistēmas pieejamību, konfidencialitāti un integritāti.</w:t>
            </w:r>
          </w:p>
          <w:p w14:paraId="4131E68A" w14:textId="77777777" w:rsidR="001A7119" w:rsidRPr="001A7119" w:rsidRDefault="001A7119" w:rsidP="001A7119">
            <w:pPr>
              <w:ind w:firstLine="360"/>
              <w:rPr>
                <w:color w:val="auto"/>
                <w:szCs w:val="24"/>
                <w:lang w:eastAsia="en-US"/>
              </w:rPr>
            </w:pPr>
            <w:r w:rsidRPr="001A7119">
              <w:rPr>
                <w:color w:val="auto"/>
                <w:szCs w:val="24"/>
                <w:lang w:eastAsia="en-US"/>
              </w:rPr>
              <w:t xml:space="preserve">Tātad </w:t>
            </w:r>
            <w:r w:rsidRPr="001A7119">
              <w:rPr>
                <w:b/>
                <w:bCs/>
                <w:color w:val="auto"/>
                <w:szCs w:val="24"/>
                <w:u w:val="single"/>
                <w:lang w:eastAsia="en-US"/>
              </w:rPr>
              <w:t xml:space="preserve">ir iespējams noteikt zināmus ierobežojumus, ja tas tiek pamatots ar valsts drošību un šādi ierobežojumi ir saistīti </w:t>
            </w:r>
            <w:r w:rsidRPr="001A7119">
              <w:rPr>
                <w:b/>
                <w:bCs/>
                <w:color w:val="auto"/>
                <w:szCs w:val="24"/>
                <w:u w:val="single"/>
                <w:lang w:eastAsia="en-US"/>
              </w:rPr>
              <w:lastRenderedPageBreak/>
              <w:t>ar faktisku risku, ir samērīgi un pamatoti ar valsts drošības iestādes novērtējumu</w:t>
            </w:r>
            <w:r w:rsidRPr="001A7119">
              <w:rPr>
                <w:color w:val="auto"/>
                <w:szCs w:val="24"/>
                <w:lang w:eastAsia="en-US"/>
              </w:rPr>
              <w:t>.</w:t>
            </w:r>
          </w:p>
          <w:p w14:paraId="32661C31" w14:textId="28930E6D" w:rsidR="001A7119" w:rsidRPr="001A7119" w:rsidRDefault="001A7119" w:rsidP="001A7119">
            <w:pPr>
              <w:rPr>
                <w:color w:val="auto"/>
                <w:szCs w:val="24"/>
                <w:lang w:eastAsia="en-US"/>
              </w:rPr>
            </w:pPr>
            <w:r w:rsidRPr="001A7119">
              <w:rPr>
                <w:color w:val="auto"/>
                <w:szCs w:val="24"/>
                <w:lang w:eastAsia="en-US"/>
              </w:rPr>
              <w:t>Attiecīgi var secināt, ka noteikumu projekta 94. punktā ietvertais nav pretrunā LESD un ES tiesību principiem un citiem tiesību aktiem.</w:t>
            </w:r>
          </w:p>
          <w:p w14:paraId="6EBBEC7A" w14:textId="25DD07CE" w:rsidR="001A7119" w:rsidRPr="001A7119" w:rsidRDefault="001A7119" w:rsidP="001A7119">
            <w:pPr>
              <w:rPr>
                <w:szCs w:val="24"/>
              </w:rPr>
            </w:pPr>
            <w:r w:rsidRPr="001A7119">
              <w:rPr>
                <w:szCs w:val="24"/>
              </w:rPr>
              <w:t xml:space="preserve">ES tiesības paredz, ka brīvai preču apritei var noteikt ierobežojumus, ja tas ir –  nepieciešams </w:t>
            </w:r>
            <w:r w:rsidRPr="001A7119">
              <w:rPr>
                <w:szCs w:val="24"/>
                <w:u w:val="single"/>
              </w:rPr>
              <w:t>valsts drošības aizsardzībai</w:t>
            </w:r>
            <w:r w:rsidRPr="001A7119">
              <w:rPr>
                <w:szCs w:val="24"/>
              </w:rPr>
              <w:t xml:space="preserve"> (LESD 36. un 52. pants), tas pamatots ar sabiedriskās kārtības, veselības vai sabiedriskās drošības apsvērumiem un tas ir samērīgs un nediskriminējošs, cik vien iespējams. </w:t>
            </w:r>
          </w:p>
          <w:p w14:paraId="3A6BE906" w14:textId="77777777" w:rsidR="001A7119" w:rsidRPr="001A7119" w:rsidRDefault="001A7119" w:rsidP="001A7119">
            <w:pPr>
              <w:rPr>
                <w:szCs w:val="24"/>
              </w:rPr>
            </w:pPr>
            <w:r w:rsidRPr="001A7119">
              <w:rPr>
                <w:szCs w:val="24"/>
              </w:rPr>
              <w:t xml:space="preserve">Noteikumu projekta 94. un 95. punktā ietvertais regulējums nesatur diskriminējošus aizliegumus veikt tehnoloģiju iepirkumus IKT kritiskās infrastruktūras A klases informācijas sistēmām, jo nesatur vispārēju aizliegumu attiecībā uz konkrētām valstīm. Turklāt Noteikumu projekts paredz, ka katrs konkrētais gadījums, kas neatbilst Noteikumu projekta 94. punktā noteiktajam, tiek </w:t>
            </w:r>
            <w:r w:rsidRPr="001A7119">
              <w:rPr>
                <w:szCs w:val="24"/>
              </w:rPr>
              <w:lastRenderedPageBreak/>
              <w:t>izvērtēts un var tikt saņemta Satversmes aizsardzības biroja atļauja.</w:t>
            </w:r>
          </w:p>
          <w:p w14:paraId="6680BD5D" w14:textId="00D1255A" w:rsidR="001A7119" w:rsidRPr="001A7119" w:rsidRDefault="001A7119" w:rsidP="001A7119">
            <w:pPr>
              <w:ind w:firstLine="720"/>
              <w:rPr>
                <w:color w:val="auto"/>
                <w:szCs w:val="24"/>
                <w:lang w:eastAsia="en-US"/>
              </w:rPr>
            </w:pPr>
            <w:r>
              <w:rPr>
                <w:color w:val="auto"/>
                <w:szCs w:val="24"/>
                <w:lang w:eastAsia="en-US"/>
              </w:rPr>
              <w:t>Eiropas Savienības Tiesa (EST)</w:t>
            </w:r>
            <w:r w:rsidRPr="001A7119">
              <w:rPr>
                <w:color w:val="auto"/>
                <w:szCs w:val="24"/>
                <w:lang w:eastAsia="en-US"/>
              </w:rPr>
              <w:t xml:space="preserve"> ir vairākkārt atzinusi, ka brīva preču aprite nav absolūta un to var ierobežot, ja tas ir objektīvi pamatots ar valsts vai nacionālās drošības apsvērumiem. Tāpat EST judikatūrā nav noteikts, ka dalībvalstis nevar regulēt preču apriti nozarēs ar pilnīgu tiesību aktu harmonizāciju. Minētais pamatojams ar to, ka Noteikumu projekts neatkārto un nemaina ES līmenī harmonizētos tiesību aktus, bet attiecas uz nacionālās drošības riska izvērtēšanu IKT kritiskās infrastruktūras kontekstā. Turklāt </w:t>
            </w:r>
            <w:r>
              <w:rPr>
                <w:color w:val="auto"/>
                <w:szCs w:val="24"/>
                <w:lang w:eastAsia="en-US"/>
              </w:rPr>
              <w:t>n</w:t>
            </w:r>
            <w:r w:rsidRPr="001A7119">
              <w:rPr>
                <w:color w:val="auto"/>
                <w:szCs w:val="24"/>
                <w:lang w:eastAsia="en-US"/>
              </w:rPr>
              <w:t xml:space="preserve">oteikumu projekta 94. punktā paredzētais ierobežojums neattiecas uz apriti visā tirgū kopumā, bet tiek attiecināti uz šauru pielietojuma jomu – IKT kritiskās infrastruktūras A klases informācijas sistēmām. Līdz ar to nacionālā drošība (IKT kritiskā infrastruktūra ir nacionālās drošības daļa) saskaņā ar LESD 4. panta 2. punktu atrodas dalībvalstu ekskluzīvā </w:t>
            </w:r>
            <w:r w:rsidRPr="001A7119">
              <w:rPr>
                <w:color w:val="auto"/>
                <w:szCs w:val="24"/>
                <w:lang w:eastAsia="en-US"/>
              </w:rPr>
              <w:lastRenderedPageBreak/>
              <w:t>kompetencē.</w:t>
            </w:r>
            <w:r>
              <w:rPr>
                <w:color w:val="auto"/>
                <w:szCs w:val="24"/>
                <w:lang w:eastAsia="en-US"/>
              </w:rPr>
              <w:t xml:space="preserve"> </w:t>
            </w:r>
            <w:r w:rsidRPr="001A7119">
              <w:rPr>
                <w:color w:val="auto"/>
                <w:szCs w:val="24"/>
                <w:lang w:eastAsia="en-US"/>
              </w:rPr>
              <w:t>EST judikatūrā ir atzīts, ka valsts drošība kā izņēmums ir primārs pat ES līmenī harmonizētās jomās. EST atzīst nacionālās drošības apsvērumi var pamatot atkāpes arī no harmonizētās tiesību vides, ja:</w:t>
            </w:r>
          </w:p>
          <w:p w14:paraId="73ED96BD" w14:textId="77777777" w:rsidR="001A7119" w:rsidRPr="001A7119" w:rsidRDefault="001A7119" w:rsidP="001A7119">
            <w:pPr>
              <w:numPr>
                <w:ilvl w:val="0"/>
                <w:numId w:val="2"/>
              </w:numPr>
              <w:jc w:val="left"/>
              <w:rPr>
                <w:color w:val="auto"/>
                <w:szCs w:val="24"/>
                <w:lang w:eastAsia="en-US"/>
              </w:rPr>
            </w:pPr>
            <w:r w:rsidRPr="001A7119">
              <w:rPr>
                <w:color w:val="auto"/>
                <w:szCs w:val="24"/>
                <w:lang w:eastAsia="en-US"/>
              </w:rPr>
              <w:t>pasākums ir samērīgs;</w:t>
            </w:r>
          </w:p>
          <w:p w14:paraId="7CBCB775" w14:textId="77777777" w:rsidR="001A7119" w:rsidRPr="001A7119" w:rsidRDefault="001A7119" w:rsidP="001A7119">
            <w:pPr>
              <w:numPr>
                <w:ilvl w:val="0"/>
                <w:numId w:val="2"/>
              </w:numPr>
              <w:jc w:val="left"/>
              <w:rPr>
                <w:color w:val="auto"/>
                <w:szCs w:val="24"/>
                <w:lang w:eastAsia="en-US"/>
              </w:rPr>
            </w:pPr>
            <w:r w:rsidRPr="001A7119">
              <w:rPr>
                <w:color w:val="auto"/>
                <w:szCs w:val="24"/>
                <w:lang w:eastAsia="en-US"/>
              </w:rPr>
              <w:t>mērķis ir valsts drošības aizsardzība, nevis ekonomisku interešu veicināšana;</w:t>
            </w:r>
          </w:p>
          <w:p w14:paraId="6ED70BCC" w14:textId="77777777" w:rsidR="001A7119" w:rsidRPr="001A7119" w:rsidRDefault="001A7119" w:rsidP="001A7119">
            <w:pPr>
              <w:numPr>
                <w:ilvl w:val="0"/>
                <w:numId w:val="2"/>
              </w:numPr>
              <w:jc w:val="left"/>
              <w:rPr>
                <w:color w:val="auto"/>
                <w:szCs w:val="24"/>
                <w:lang w:eastAsia="en-US"/>
              </w:rPr>
            </w:pPr>
            <w:r w:rsidRPr="001A7119">
              <w:rPr>
                <w:color w:val="auto"/>
                <w:szCs w:val="24"/>
                <w:lang w:eastAsia="en-US"/>
              </w:rPr>
              <w:t>pasākums nav diskriminējošs pēc ES izcelsmes, bet attiecas uz trešajām valstīm un no tā izrietošiem riska faktoriem.</w:t>
            </w:r>
          </w:p>
          <w:p w14:paraId="4AEC7A88" w14:textId="77777777" w:rsidR="001A7119" w:rsidRPr="001A7119" w:rsidRDefault="001A7119" w:rsidP="001A7119">
            <w:pPr>
              <w:rPr>
                <w:color w:val="auto"/>
                <w:szCs w:val="24"/>
                <w:lang w:eastAsia="en-US"/>
              </w:rPr>
            </w:pPr>
            <w:r w:rsidRPr="001A7119">
              <w:rPr>
                <w:color w:val="auto"/>
                <w:szCs w:val="24"/>
                <w:lang w:eastAsia="en-US"/>
              </w:rPr>
              <w:t>Augstāk minētais izriet, piemēram, no EST lietas C-72/83</w:t>
            </w:r>
            <w:r w:rsidRPr="001A7119">
              <w:rPr>
                <w:color w:val="auto"/>
                <w:szCs w:val="24"/>
                <w:vertAlign w:val="superscript"/>
                <w:lang w:eastAsia="en-US"/>
              </w:rPr>
              <w:footnoteReference w:id="2"/>
            </w:r>
            <w:r w:rsidRPr="001A7119">
              <w:rPr>
                <w:color w:val="auto"/>
                <w:szCs w:val="24"/>
                <w:lang w:eastAsia="en-US"/>
              </w:rPr>
              <w:t>.</w:t>
            </w:r>
          </w:p>
          <w:p w14:paraId="50CF5B56" w14:textId="77777777" w:rsidR="001A7119" w:rsidRPr="001A7119" w:rsidRDefault="001A7119" w:rsidP="001A7119">
            <w:pPr>
              <w:ind w:firstLine="720"/>
              <w:rPr>
                <w:color w:val="auto"/>
                <w:szCs w:val="24"/>
                <w:lang w:eastAsia="en-US"/>
              </w:rPr>
            </w:pPr>
            <w:r w:rsidRPr="001A7119">
              <w:rPr>
                <w:color w:val="auto"/>
                <w:szCs w:val="24"/>
                <w:lang w:eastAsia="en-US"/>
              </w:rPr>
              <w:t xml:space="preserve">Noteikumu projekta 94. punktā ietvertās prasības nav pielīdzināmas sertifikācijai, kas izriet no ES tiesību aktiem. Noteikumu projektā ietvertās prasības ir noteiktas ar papildu mērķi – aizsargāt nacionālo drošību. Attiecīgi šāda papildu mērķa izvirzīšana pārsniedz </w:t>
            </w:r>
            <w:r w:rsidRPr="001A7119">
              <w:rPr>
                <w:color w:val="auto"/>
                <w:szCs w:val="24"/>
                <w:lang w:eastAsia="en-US"/>
              </w:rPr>
              <w:lastRenderedPageBreak/>
              <w:t xml:space="preserve">tehniskās atbilstības prasības, kas izriet no sertifikācijas procesa. Tādejādi ES sertifikācija var kalpot kā pamata drošības garantija, taču tā var nebūt pietiekama IKT kritiskās infrastruktūras kontekstā. </w:t>
            </w:r>
          </w:p>
          <w:p w14:paraId="6828C1F3" w14:textId="3DEFE017" w:rsidR="001A7119" w:rsidRPr="001A7119" w:rsidRDefault="001A7119" w:rsidP="001A7119">
            <w:pPr>
              <w:rPr>
                <w:szCs w:val="24"/>
              </w:rPr>
            </w:pPr>
            <w:r w:rsidRPr="001A7119">
              <w:rPr>
                <w:color w:val="auto"/>
                <w:szCs w:val="24"/>
                <w:lang w:eastAsia="en-US"/>
              </w:rPr>
              <w:t>ES mērogā piemērojamie drošības sertifikāti (piemēram, CE marķējums, ENISA kiberdrošības shēmas) apliecina, ka produkts atbilst noteiktiem tehniskiem drošības kritērijiem, tomēr nesniedz izvērtējumu par piegādātāja uzticamību, valsts saistībām vai iespējamu ārvalstu kontroles risku. Savukārt Noteikumu projekta 94. punktā uzsvars ir uz ārvalstu ietekmes riska izvērtējumu, ilgtermiņa nacionālās drošības interešu aizsardzību, kā arī ārpakalpojumu uzticamību.</w:t>
            </w:r>
          </w:p>
          <w:p w14:paraId="4BC9E349" w14:textId="0384E029" w:rsidR="001A7119" w:rsidRPr="001A7119" w:rsidRDefault="001A7119" w:rsidP="001A7119">
            <w:pPr>
              <w:ind w:firstLine="720"/>
              <w:rPr>
                <w:color w:val="auto"/>
                <w:szCs w:val="24"/>
                <w:lang w:eastAsia="en-US"/>
              </w:rPr>
            </w:pPr>
            <w:r w:rsidRPr="001A7119">
              <w:rPr>
                <w:color w:val="auto"/>
                <w:szCs w:val="24"/>
                <w:lang w:eastAsia="en-US"/>
              </w:rPr>
              <w:t xml:space="preserve">Saskaņā ar LESD 4. panta 2. punktu, valsts drošība ir katras dalībvalsts ekskluzīva kompetence. Savukārt LESD 36. pants un ES Tiesas judikatūra atzīst, ka – </w:t>
            </w:r>
            <w:r w:rsidRPr="001A7119">
              <w:rPr>
                <w:color w:val="0E0E0E"/>
                <w:szCs w:val="24"/>
                <w:lang w:eastAsia="en-US"/>
              </w:rPr>
              <w:t xml:space="preserve">valsts var ierobežot preču apriti un uzņēmējdarbību, ja tas ir nepieciešams sabiedriskās </w:t>
            </w:r>
            <w:r w:rsidRPr="001A7119">
              <w:rPr>
                <w:color w:val="0E0E0E"/>
                <w:szCs w:val="24"/>
                <w:lang w:eastAsia="en-US"/>
              </w:rPr>
              <w:lastRenderedPageBreak/>
              <w:t>drošības vai valsts drošības aizsardzībai.</w:t>
            </w:r>
          </w:p>
          <w:p w14:paraId="1B214C9A" w14:textId="77777777" w:rsidR="001A7119" w:rsidRPr="001A7119" w:rsidRDefault="001A7119" w:rsidP="001A7119">
            <w:pPr>
              <w:ind w:firstLine="720"/>
              <w:rPr>
                <w:color w:val="auto"/>
                <w:szCs w:val="24"/>
                <w:lang w:eastAsia="en-US"/>
              </w:rPr>
            </w:pPr>
            <w:r w:rsidRPr="001A7119">
              <w:rPr>
                <w:color w:val="auto"/>
                <w:szCs w:val="24"/>
                <w:lang w:eastAsia="en-US"/>
              </w:rPr>
              <w:t>Tāpēc nacionālās drošības kontekstā nav jāvērtē, vai cita dalībvalsts uzskata to pašu preci par drošu — katrai valstij ir tiesības veikt neatkarīgu riska izvērtējumu, īpaši attiecībā uz IKT  kritisko infrastruktūru.</w:t>
            </w:r>
          </w:p>
          <w:p w14:paraId="2F178DAF" w14:textId="32FC2EB8" w:rsidR="001A7119" w:rsidRPr="001A7119" w:rsidRDefault="001A7119" w:rsidP="00544892">
            <w:pPr>
              <w:rPr>
                <w:szCs w:val="24"/>
              </w:rPr>
            </w:pPr>
            <w:r w:rsidRPr="001A7119">
              <w:rPr>
                <w:rStyle w:val="s3"/>
                <w:szCs w:val="24"/>
              </w:rPr>
              <w:t xml:space="preserve">Konkrētā </w:t>
            </w:r>
            <w:r w:rsidRPr="001A7119">
              <w:rPr>
                <w:szCs w:val="24"/>
              </w:rPr>
              <w:t>ierobežojuma piemērošana ir šaura un mērķtiecīga, proti, ierobežojums neattiecas uz visiem tirgus dalībniekiem</w:t>
            </w:r>
            <w:r w:rsidRPr="001A7119">
              <w:rPr>
                <w:rStyle w:val="s1"/>
                <w:rFonts w:eastAsia="Palatino"/>
                <w:szCs w:val="24"/>
              </w:rPr>
              <w:t xml:space="preserve">, bet tikai uz tiem, kas apkalpo IKT </w:t>
            </w:r>
            <w:r w:rsidRPr="001A7119">
              <w:rPr>
                <w:szCs w:val="24"/>
              </w:rPr>
              <w:t>kritiskās infrastruktūras A klases informācijas sistēmas</w:t>
            </w:r>
            <w:r w:rsidRPr="001A7119">
              <w:rPr>
                <w:rStyle w:val="s1"/>
                <w:rFonts w:eastAsia="Palatino"/>
                <w:szCs w:val="24"/>
              </w:rPr>
              <w:t xml:space="preserve">, </w:t>
            </w:r>
            <w:r w:rsidRPr="001A7119">
              <w:rPr>
                <w:szCs w:val="24"/>
              </w:rPr>
              <w:t>neskar vispārējo preču apriti</w:t>
            </w:r>
            <w:r w:rsidRPr="001A7119">
              <w:rPr>
                <w:rStyle w:val="s1"/>
                <w:rFonts w:eastAsia="Palatino"/>
                <w:szCs w:val="24"/>
              </w:rPr>
              <w:t xml:space="preserve">, bet attiecas uz </w:t>
            </w:r>
            <w:r w:rsidRPr="001A7119">
              <w:rPr>
                <w:szCs w:val="24"/>
              </w:rPr>
              <w:t>valsts drošības interesēm</w:t>
            </w:r>
            <w:r w:rsidRPr="001A7119">
              <w:rPr>
                <w:rStyle w:val="s1"/>
                <w:rFonts w:eastAsia="Palatino"/>
                <w:szCs w:val="24"/>
              </w:rPr>
              <w:t xml:space="preserve">, </w:t>
            </w:r>
            <w:r w:rsidRPr="001A7119">
              <w:rPr>
                <w:szCs w:val="24"/>
              </w:rPr>
              <w:t>attiecas uz tehnisko resursu izcelsmi un ārpakalpojuma pārvaldību</w:t>
            </w:r>
            <w:r w:rsidRPr="001A7119">
              <w:rPr>
                <w:rStyle w:val="s1"/>
                <w:rFonts w:eastAsia="Palatino"/>
                <w:szCs w:val="24"/>
              </w:rPr>
              <w:t>, nevis komersanta pilsonību vai izcelsmes valsti.</w:t>
            </w:r>
            <w:r w:rsidRPr="001A7119">
              <w:rPr>
                <w:szCs w:val="24"/>
              </w:rPr>
              <w:t xml:space="preserve"> Šāds ierobežojums </w:t>
            </w:r>
            <w:r w:rsidRPr="001A7119">
              <w:rPr>
                <w:rStyle w:val="s2"/>
                <w:szCs w:val="24"/>
              </w:rPr>
              <w:t>nav diskriminējošs pēc ES tiesību izpratnes</w:t>
            </w:r>
            <w:r w:rsidRPr="001A7119">
              <w:rPr>
                <w:szCs w:val="24"/>
              </w:rPr>
              <w:t xml:space="preserve">, ja tas attiecas arī uz vietējiem uzņēmumiem, kas izmanto nedrošas izcelsmes tehnoloģijas. Turklāt ierobežojums iztur </w:t>
            </w:r>
            <w:r w:rsidRPr="001A7119">
              <w:rPr>
                <w:rStyle w:val="s2"/>
                <w:szCs w:val="24"/>
              </w:rPr>
              <w:t>samērīguma testu</w:t>
            </w:r>
            <w:r w:rsidRPr="001A7119">
              <w:rPr>
                <w:szCs w:val="24"/>
              </w:rPr>
              <w:t xml:space="preserve"> – </w:t>
            </w:r>
            <w:r w:rsidRPr="001A7119">
              <w:rPr>
                <w:rStyle w:val="s1"/>
                <w:rFonts w:eastAsia="Palatino"/>
                <w:szCs w:val="24"/>
              </w:rPr>
              <w:t>piemērotība:</w:t>
            </w:r>
            <w:r w:rsidRPr="001A7119">
              <w:rPr>
                <w:szCs w:val="24"/>
              </w:rPr>
              <w:t xml:space="preserve"> tas palīdz pārvaldīt drošības riskus </w:t>
            </w:r>
            <w:r w:rsidRPr="001A7119">
              <w:rPr>
                <w:szCs w:val="24"/>
              </w:rPr>
              <w:lastRenderedPageBreak/>
              <w:t>(kiberapdraudējumi, ārvalstu kontrole, datu noplūde); n</w:t>
            </w:r>
            <w:r w:rsidRPr="001A7119">
              <w:rPr>
                <w:rStyle w:val="s1"/>
                <w:rFonts w:eastAsia="Palatino"/>
                <w:szCs w:val="24"/>
              </w:rPr>
              <w:t xml:space="preserve">epieciešamība – </w:t>
            </w:r>
            <w:r w:rsidRPr="001A7119">
              <w:rPr>
                <w:szCs w:val="24"/>
              </w:rPr>
              <w:t>mazāk ierobežojoši līdzekļi (piemēram, audits vai sertifikācija) nav pietiekami, ja pastāv uzticības deficīts piegādātājam; samērīgums šaurā nozīmē –</w:t>
            </w:r>
            <w:r w:rsidRPr="001A7119">
              <w:rPr>
                <w:rStyle w:val="s1"/>
                <w:rFonts w:eastAsia="Palatino"/>
                <w:szCs w:val="24"/>
              </w:rPr>
              <w:t xml:space="preserve"> ierobežojums ir mērens, jo </w:t>
            </w:r>
            <w:r w:rsidRPr="001A7119">
              <w:rPr>
                <w:szCs w:val="24"/>
              </w:rPr>
              <w:t>netiek ierobežota visa uzņēmējdarbība, bet tikai konkrēta iekārtu vai tehnoloģisko resursu izmantošana konkrētā jomā</w:t>
            </w:r>
            <w:r w:rsidRPr="001A7119">
              <w:rPr>
                <w:rStyle w:val="s1"/>
                <w:rFonts w:eastAsia="Palatino"/>
                <w:szCs w:val="24"/>
              </w:rPr>
              <w:t>.</w:t>
            </w:r>
          </w:p>
          <w:p w14:paraId="5444555A" w14:textId="77777777" w:rsidR="001A7119" w:rsidRDefault="001A7119" w:rsidP="00544892"/>
          <w:p w14:paraId="7558BB5C" w14:textId="20813B13" w:rsidR="004256E5" w:rsidRPr="001A7119" w:rsidRDefault="004256E5" w:rsidP="00544892"/>
        </w:tc>
        <w:tc>
          <w:tcPr>
            <w:tcW w:w="3388" w:type="dxa"/>
            <w:shd w:val="clear" w:color="auto" w:fill="FFFFFF"/>
            <w:noWrap/>
            <w:tcMar>
              <w:top w:w="75" w:type="dxa"/>
              <w:left w:w="75" w:type="dxa"/>
              <w:bottom w:w="75" w:type="dxa"/>
              <w:right w:w="75" w:type="dxa"/>
            </w:tcMar>
          </w:tcPr>
          <w:p w14:paraId="6818ACA2" w14:textId="77777777" w:rsidR="004256E5" w:rsidRPr="001A7119" w:rsidRDefault="004256E5" w:rsidP="00544892">
            <w:r w:rsidRPr="001A7119">
              <w:lastRenderedPageBreak/>
              <w:t>94. IKT kritiskās infrastruktūras īpašniekam vai tiesiskajam valdītājam ārpakalpojuma līgumu par A klases informācijas sistēmai tehnisko resursu iegādi atļauts slēgt, ja ārpakalpojuma sniedzējs un tehniskā resursa ražotājs ir:</w:t>
            </w:r>
          </w:p>
        </w:tc>
      </w:tr>
      <w:tr w:rsidR="004256E5" w14:paraId="79A4401B" w14:textId="77777777" w:rsidTr="00544892">
        <w:tc>
          <w:tcPr>
            <w:tcW w:w="1015" w:type="dxa"/>
            <w:shd w:val="clear" w:color="auto" w:fill="FFFFFF"/>
            <w:noWrap/>
            <w:tcMar>
              <w:top w:w="75" w:type="dxa"/>
              <w:left w:w="75" w:type="dxa"/>
              <w:bottom w:w="75" w:type="dxa"/>
              <w:right w:w="75" w:type="dxa"/>
            </w:tcMar>
          </w:tcPr>
          <w:p w14:paraId="403432D5" w14:textId="77777777" w:rsidR="004256E5" w:rsidRDefault="004256E5" w:rsidP="00544892">
            <w:r>
              <w:lastRenderedPageBreak/>
              <w:t>450.</w:t>
            </w:r>
          </w:p>
        </w:tc>
        <w:tc>
          <w:tcPr>
            <w:tcW w:w="3388" w:type="dxa"/>
            <w:shd w:val="clear" w:color="auto" w:fill="FFFFFF"/>
            <w:noWrap/>
            <w:tcMar>
              <w:top w:w="75" w:type="dxa"/>
              <w:left w:w="75" w:type="dxa"/>
              <w:bottom w:w="75" w:type="dxa"/>
              <w:right w:w="75" w:type="dxa"/>
            </w:tcMar>
          </w:tcPr>
          <w:p w14:paraId="2D8EFE34" w14:textId="77777777" w:rsidR="004256E5" w:rsidRDefault="004256E5" w:rsidP="00544892">
            <w:pPr>
              <w:spacing w:after="240"/>
              <w:rPr>
                <w:b/>
              </w:rPr>
            </w:pPr>
            <w:r>
              <w:rPr>
                <w:b/>
              </w:rPr>
              <w:t>Noteikumu projekts</w:t>
            </w:r>
          </w:p>
          <w:p w14:paraId="61BAEF26" w14:textId="77777777" w:rsidR="004256E5" w:rsidRDefault="004256E5" w:rsidP="00544892">
            <w:r>
              <w:lastRenderedPageBreak/>
              <w:t>121. 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 un parakstītu ar drošu elektronisko parakstu:</w:t>
            </w:r>
          </w:p>
        </w:tc>
        <w:tc>
          <w:tcPr>
            <w:tcW w:w="3388" w:type="dxa"/>
            <w:shd w:val="clear" w:color="auto" w:fill="FFFFFF"/>
            <w:noWrap/>
            <w:tcMar>
              <w:top w:w="75" w:type="dxa"/>
              <w:left w:w="75" w:type="dxa"/>
              <w:bottom w:w="75" w:type="dxa"/>
              <w:right w:w="75" w:type="dxa"/>
            </w:tcMar>
          </w:tcPr>
          <w:p w14:paraId="5B7571F9" w14:textId="77777777" w:rsidR="004256E5" w:rsidRDefault="004256E5" w:rsidP="00544892">
            <w:pPr>
              <w:spacing w:after="240"/>
              <w:rPr>
                <w:b/>
              </w:rPr>
            </w:pPr>
            <w:r>
              <w:rPr>
                <w:b/>
              </w:rPr>
              <w:lastRenderedPageBreak/>
              <w:t>Iebildums (Conexus - 08.04.2025.)</w:t>
            </w:r>
          </w:p>
          <w:p w14:paraId="43A2503F" w14:textId="77777777" w:rsidR="004256E5" w:rsidRDefault="004256E5" w:rsidP="00544892">
            <w:r>
              <w:lastRenderedPageBreak/>
              <w:t xml:space="preserve">NIS2 24. apsvērumā minēts, ka “dalībvalstīm būtu jāievieš automātisks un tiešs ziņošanas mehānisms, kas nodrošina sistemātisku un tūlītēju informācijas kopīgošanu ar CSIRT, kompetentajām iestādēm vai vienotajiem kontaktpunktiem”. Noteikumu projekta 121. punktā noteiktais pienākums ziņot par nozīmīgiem kiberincidentiem, izmantojot noteiktas formas veidlapas un </w:t>
            </w:r>
            <w:r>
              <w:rPr>
                <w:u w:val="single"/>
              </w:rPr>
              <w:t>tās pirms nosūtīšanas parakstot ar drošu elektronisko parakstu</w:t>
            </w:r>
            <w:r>
              <w:t xml:space="preserve"> liedz pilnībā automatizēt ziņošanas procesu un apgrūtina tūlītēju informācijas kopīgošanu. Ierosinām izslēgt noteikumu šīs veidlapas parakstīt ar drošu elektronisko parakstu, kā arī noteikt, ka noteikumu projekta 121. punktā minētās veidlapas nav obligāti izmantojamas, ja Nacionālā kiberdrošības likuma subjekts ir ieviesis automātiskas ziņošanas rīku un sistēmas izsūtītajā ziņojumā tiek iekļauta visa šajās veidlapās minētā informācija.</w:t>
            </w:r>
          </w:p>
          <w:p w14:paraId="44ED6537" w14:textId="77777777" w:rsidR="004256E5" w:rsidRDefault="004256E5" w:rsidP="00544892">
            <w:pPr>
              <w:spacing w:before="240" w:after="240"/>
              <w:rPr>
                <w:i/>
              </w:rPr>
            </w:pPr>
            <w:r>
              <w:rPr>
                <w:i/>
              </w:rPr>
              <w:lastRenderedPageBreak/>
              <w:t>Piedāvātā redakcija</w:t>
            </w:r>
          </w:p>
          <w:p w14:paraId="6250D122" w14:textId="77777777" w:rsidR="004256E5" w:rsidRDefault="004256E5" w:rsidP="00544892">
            <w:r>
              <w:t>121.</w:t>
            </w:r>
          </w:p>
          <w:p w14:paraId="5174039B" w14:textId="77777777" w:rsidR="004256E5" w:rsidRDefault="004256E5" w:rsidP="00544892">
            <w:r>
              <w:t>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w:t>
            </w:r>
          </w:p>
          <w:p w14:paraId="6ABB2D9E" w14:textId="77777777" w:rsidR="004256E5" w:rsidRDefault="004256E5" w:rsidP="00544892">
            <w:r>
              <w:t>121.1.</w:t>
            </w:r>
          </w:p>
          <w:p w14:paraId="29D1FE36" w14:textId="77777777" w:rsidR="004256E5" w:rsidRDefault="004256E5" w:rsidP="00544892">
            <w:r>
              <w:t>agrīnā brīdinājuma veidlapu (9. pielikums);</w:t>
            </w:r>
          </w:p>
          <w:p w14:paraId="78122219" w14:textId="77777777" w:rsidR="004256E5" w:rsidRDefault="004256E5" w:rsidP="00544892">
            <w:r>
              <w:t>121.2.</w:t>
            </w:r>
          </w:p>
          <w:p w14:paraId="6AB31A08" w14:textId="77777777" w:rsidR="004256E5" w:rsidRDefault="004256E5" w:rsidP="00544892">
            <w:r>
              <w:t>sākotnējā ziņojuma veidlapu (10. pielikums);</w:t>
            </w:r>
          </w:p>
          <w:p w14:paraId="73FA95F8" w14:textId="77777777" w:rsidR="004256E5" w:rsidRDefault="004256E5" w:rsidP="00544892">
            <w:r>
              <w:t>121.3.</w:t>
            </w:r>
          </w:p>
          <w:p w14:paraId="6F584EF7" w14:textId="77777777" w:rsidR="004256E5" w:rsidRDefault="004256E5" w:rsidP="00544892">
            <w:r>
              <w:t>progresa ziņojuma veidlapu (11. pielikums), ja attiecināms;</w:t>
            </w:r>
          </w:p>
          <w:p w14:paraId="29DA4DF2" w14:textId="77777777" w:rsidR="004256E5" w:rsidRDefault="004256E5" w:rsidP="00544892">
            <w:r>
              <w:t>121.4.</w:t>
            </w:r>
          </w:p>
          <w:p w14:paraId="36ED0C44" w14:textId="77777777" w:rsidR="004256E5" w:rsidRDefault="004256E5" w:rsidP="00544892">
            <w:r>
              <w:t>starpposma ziņojuma veidlapu (12. pielikums), ja attiecināms;</w:t>
            </w:r>
          </w:p>
          <w:p w14:paraId="3EFC4DE4" w14:textId="77777777" w:rsidR="004256E5" w:rsidRDefault="004256E5" w:rsidP="00544892">
            <w:r>
              <w:t>121.5.</w:t>
            </w:r>
          </w:p>
          <w:p w14:paraId="7044FEB7" w14:textId="77777777" w:rsidR="004256E5" w:rsidRDefault="004256E5" w:rsidP="00544892">
            <w:r>
              <w:t>galaziņojuma veidlapu (13. pielikums).</w:t>
            </w:r>
          </w:p>
          <w:p w14:paraId="21EC98FC" w14:textId="77777777" w:rsidR="004256E5" w:rsidRDefault="004256E5" w:rsidP="00544892"/>
          <w:p w14:paraId="0CB5C19C" w14:textId="77777777" w:rsidR="004256E5" w:rsidRDefault="004256E5" w:rsidP="00544892">
            <w:r>
              <w:t xml:space="preserve">122. Noteikumu 121. punktā minētās veidlapas var neizmantot, ja subjekts ir ieviesis </w:t>
            </w:r>
            <w:r>
              <w:lastRenderedPageBreak/>
              <w:t>automātiskas ziņošanas rīku un sistēmas izsūtītajā ziņojumā tiek iekļauta visa šajās veidlapās minētā informācija.</w:t>
            </w:r>
          </w:p>
        </w:tc>
        <w:tc>
          <w:tcPr>
            <w:tcW w:w="3388" w:type="dxa"/>
            <w:shd w:val="clear" w:color="auto" w:fill="FFFFFF"/>
            <w:noWrap/>
            <w:tcMar>
              <w:top w:w="75" w:type="dxa"/>
              <w:left w:w="75" w:type="dxa"/>
              <w:bottom w:w="75" w:type="dxa"/>
              <w:right w:w="75" w:type="dxa"/>
            </w:tcMar>
          </w:tcPr>
          <w:p w14:paraId="33D12AC8" w14:textId="77777777" w:rsidR="004256E5" w:rsidRDefault="004256E5" w:rsidP="00544892">
            <w:pPr>
              <w:spacing w:after="240"/>
              <w:rPr>
                <w:b/>
              </w:rPr>
            </w:pPr>
            <w:r>
              <w:rPr>
                <w:b/>
              </w:rPr>
              <w:lastRenderedPageBreak/>
              <w:t>Nav ņemts vērā</w:t>
            </w:r>
          </w:p>
          <w:p w14:paraId="52073ABD" w14:textId="77777777" w:rsidR="004256E5" w:rsidRDefault="004256E5" w:rsidP="00544892">
            <w:r>
              <w:lastRenderedPageBreak/>
              <w:t>Noteikumu projekts ir paredzēts plašam subjektu loka</w:t>
            </w:r>
            <w:r w:rsidR="00F457E6">
              <w:t>m</w:t>
            </w:r>
            <w:r>
              <w:t>, līdz ar to nav iespējams to pielāgot viena subjekta automatizētai sistēmai. Iespējams, laika gaitā, šāda automatizācija būs iespējama.</w:t>
            </w:r>
          </w:p>
          <w:p w14:paraId="7A62FB77" w14:textId="6988791D" w:rsidR="00F457E6" w:rsidRDefault="00F457E6" w:rsidP="00544892">
            <w:r>
              <w:t>Turklāt ir nepieciešams nodrošināt šādu ziņojumu tiesiskumu, šobrīd Latvijā to ir iespējams izpildīt izmantojot elektronisko parakstu.</w:t>
            </w:r>
          </w:p>
        </w:tc>
        <w:tc>
          <w:tcPr>
            <w:tcW w:w="3388" w:type="dxa"/>
            <w:shd w:val="clear" w:color="auto" w:fill="FFFFFF"/>
            <w:noWrap/>
            <w:tcMar>
              <w:top w:w="75" w:type="dxa"/>
              <w:left w:w="75" w:type="dxa"/>
              <w:bottom w:w="75" w:type="dxa"/>
              <w:right w:w="75" w:type="dxa"/>
            </w:tcMar>
          </w:tcPr>
          <w:p w14:paraId="42560901" w14:textId="77777777" w:rsidR="004256E5" w:rsidRDefault="004256E5" w:rsidP="00544892">
            <w:r>
              <w:lastRenderedPageBreak/>
              <w:t xml:space="preserve">121. Par nozīmīgu kiberincidentu subjekts Nacionālās kiberdrošības likuma 34. panta otrajā, trešajā, </w:t>
            </w:r>
            <w:r>
              <w:lastRenderedPageBreak/>
              <w:t>piektajā un sestajā daļā noteiktajos termiņos ziņo kompetentajai kiberincidentu novēršanas institūcijai, nosūtot uz tās elektroniskā pasta adresi elektroniski aizpildītu un parakstītu ar drošu elektronisko parakstu:</w:t>
            </w:r>
          </w:p>
        </w:tc>
      </w:tr>
      <w:tr w:rsidR="004256E5" w14:paraId="2711060A" w14:textId="77777777" w:rsidTr="00544892">
        <w:tc>
          <w:tcPr>
            <w:tcW w:w="1015" w:type="dxa"/>
            <w:shd w:val="clear" w:color="auto" w:fill="FFFFFF"/>
            <w:noWrap/>
            <w:tcMar>
              <w:top w:w="75" w:type="dxa"/>
              <w:left w:w="75" w:type="dxa"/>
              <w:bottom w:w="75" w:type="dxa"/>
              <w:right w:w="75" w:type="dxa"/>
            </w:tcMar>
          </w:tcPr>
          <w:p w14:paraId="76B14F3B" w14:textId="77777777" w:rsidR="004256E5" w:rsidRDefault="004256E5" w:rsidP="00544892">
            <w:r>
              <w:lastRenderedPageBreak/>
              <w:t>502.</w:t>
            </w:r>
          </w:p>
        </w:tc>
        <w:tc>
          <w:tcPr>
            <w:tcW w:w="3388" w:type="dxa"/>
            <w:shd w:val="clear" w:color="auto" w:fill="FFFFFF"/>
            <w:noWrap/>
            <w:tcMar>
              <w:top w:w="75" w:type="dxa"/>
              <w:left w:w="75" w:type="dxa"/>
              <w:bottom w:w="75" w:type="dxa"/>
              <w:right w:w="75" w:type="dxa"/>
            </w:tcMar>
          </w:tcPr>
          <w:p w14:paraId="0B39713E" w14:textId="77777777" w:rsidR="004256E5" w:rsidRDefault="004256E5" w:rsidP="00544892">
            <w:pPr>
              <w:spacing w:after="240"/>
              <w:rPr>
                <w:b/>
              </w:rPr>
            </w:pPr>
            <w:r>
              <w:rPr>
                <w:b/>
              </w:rPr>
              <w:t>Noteikumu projekts</w:t>
            </w:r>
          </w:p>
          <w:p w14:paraId="35BA03CF" w14:textId="77777777" w:rsidR="004256E5" w:rsidRDefault="004256E5" w:rsidP="00544892">
            <w:r>
              <w:t>155. Šo noteikumu 21.–81., 85. un 88. punktā noteiktās prasības piemēro no 2025. gada 1. jūlija.</w:t>
            </w:r>
          </w:p>
        </w:tc>
        <w:tc>
          <w:tcPr>
            <w:tcW w:w="3388" w:type="dxa"/>
            <w:shd w:val="clear" w:color="auto" w:fill="FFFFFF"/>
            <w:noWrap/>
            <w:tcMar>
              <w:top w:w="75" w:type="dxa"/>
              <w:left w:w="75" w:type="dxa"/>
              <w:bottom w:w="75" w:type="dxa"/>
              <w:right w:w="75" w:type="dxa"/>
            </w:tcMar>
          </w:tcPr>
          <w:p w14:paraId="3C30DD16" w14:textId="77777777" w:rsidR="004256E5" w:rsidRDefault="004256E5" w:rsidP="00544892">
            <w:pPr>
              <w:spacing w:after="240"/>
              <w:rPr>
                <w:b/>
              </w:rPr>
            </w:pPr>
            <w:r>
              <w:rPr>
                <w:b/>
              </w:rPr>
              <w:t>Iebildums (LM - 09.04.2025.)</w:t>
            </w:r>
          </w:p>
          <w:p w14:paraId="399E7A5F" w14:textId="77777777" w:rsidR="004256E5" w:rsidRDefault="004256E5" w:rsidP="00544892">
            <w:r>
              <w:t xml:space="preserve">Ņemot vērā to, ka līdz 2025. gada 1. jūlijam ir atlikuši daži mēneši un vairāku šo noteikumu (tai skaitā 52.1 apakšpunkta prasības par daudzfaktoru autentifikāciju un 68. punkta un 70. punkta prasības par rezerves kopēšānu) prasību izpildei nepieciešami ievērojami papildus finanšu līdzekļi, kas nav paredzēti iestāžu budžetos, kā arī jāveic sistēmu uzlabojumi kas nav relaizējami tik īsā termiņa. Tāpat tik īsā termiņā nav iespējama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mēs </w:t>
            </w:r>
            <w:r>
              <w:lastRenderedPageBreak/>
              <w:t>rekomendējam šo termiņu aizvietot ar “piemēro no 2026.gada 1.janvāra”.</w:t>
            </w:r>
          </w:p>
          <w:p w14:paraId="0FC95F23" w14:textId="77777777" w:rsidR="004256E5" w:rsidRDefault="004256E5" w:rsidP="00544892">
            <w:r>
              <w:t> </w:t>
            </w:r>
          </w:p>
          <w:p w14:paraId="3B538646" w14:textId="77777777" w:rsidR="004256E5" w:rsidRDefault="004256E5" w:rsidP="00544892">
            <w:pPr>
              <w:spacing w:before="240" w:after="240"/>
              <w:rPr>
                <w:i/>
              </w:rPr>
            </w:pPr>
            <w:r>
              <w:rPr>
                <w:i/>
              </w:rPr>
              <w:t>Piedāvātā redakcija</w:t>
            </w:r>
          </w:p>
          <w:p w14:paraId="0E530CFD" w14:textId="77777777" w:rsidR="004256E5" w:rsidRDefault="004256E5" w:rsidP="00544892">
            <w:r>
              <w:t>Šo noteikumu 21.–81., 85. un 88. punktā noteiktās prasības piemēro no 2026. gada 1. janvāra.</w:t>
            </w:r>
          </w:p>
        </w:tc>
        <w:tc>
          <w:tcPr>
            <w:tcW w:w="3388" w:type="dxa"/>
            <w:shd w:val="clear" w:color="auto" w:fill="FFFFFF"/>
            <w:noWrap/>
            <w:tcMar>
              <w:top w:w="75" w:type="dxa"/>
              <w:left w:w="75" w:type="dxa"/>
              <w:bottom w:w="75" w:type="dxa"/>
              <w:right w:w="75" w:type="dxa"/>
            </w:tcMar>
          </w:tcPr>
          <w:p w14:paraId="23260C6B" w14:textId="77777777" w:rsidR="004256E5" w:rsidRDefault="004256E5" w:rsidP="00544892">
            <w:pPr>
              <w:spacing w:after="240"/>
              <w:rPr>
                <w:b/>
              </w:rPr>
            </w:pPr>
            <w:r>
              <w:rPr>
                <w:b/>
              </w:rPr>
              <w:lastRenderedPageBreak/>
              <w:t>Nav ņemts vērā</w:t>
            </w:r>
          </w:p>
          <w:p w14:paraId="05B73BCB" w14:textId="77777777" w:rsidR="004256E5" w:rsidRDefault="004256E5" w:rsidP="00544892">
            <w:r>
              <w:t>Minētās normas pārņem NIS2 direktīvas prasības un jau šobrīd tiek kavēta direktīvas ieviešana, līdz ar to nav iespējams noteikt speciālu tālāku datumu, no kura varētu piemērot noteikumos minētās prasības. </w:t>
            </w:r>
          </w:p>
        </w:tc>
        <w:tc>
          <w:tcPr>
            <w:tcW w:w="3388" w:type="dxa"/>
            <w:shd w:val="clear" w:color="auto" w:fill="FFFFFF"/>
            <w:noWrap/>
            <w:tcMar>
              <w:top w:w="75" w:type="dxa"/>
              <w:left w:w="75" w:type="dxa"/>
              <w:bottom w:w="75" w:type="dxa"/>
              <w:right w:w="75" w:type="dxa"/>
            </w:tcMar>
          </w:tcPr>
          <w:p w14:paraId="617D82D5" w14:textId="77777777" w:rsidR="004256E5" w:rsidRDefault="004256E5" w:rsidP="00544892">
            <w:r>
              <w:t>154. Subjekts, kas iegūs A, B vai C kategorijas IKT kritiskās infrastruktūras īpašnieka vai tiesiskā valdītāja statusu pēc šo noteikumu spēkā stāšanās brīža, nodrošina atbilstību šajos noteikumos noteiktajām prasībām divpadsmit mēnešu laikā no šo noteikumu 108.3. apakšpunktā norādītās informācijas saņemšanas brīža.</w:t>
            </w:r>
          </w:p>
        </w:tc>
      </w:tr>
      <w:tr w:rsidR="004256E5" w14:paraId="646A882B" w14:textId="77777777" w:rsidTr="00544892">
        <w:tc>
          <w:tcPr>
            <w:tcW w:w="1015" w:type="dxa"/>
            <w:shd w:val="clear" w:color="auto" w:fill="FFFFFF"/>
            <w:noWrap/>
            <w:tcMar>
              <w:top w:w="75" w:type="dxa"/>
              <w:left w:w="75" w:type="dxa"/>
              <w:bottom w:w="75" w:type="dxa"/>
              <w:right w:w="75" w:type="dxa"/>
            </w:tcMar>
          </w:tcPr>
          <w:p w14:paraId="53216D3F" w14:textId="77777777" w:rsidR="004256E5" w:rsidRDefault="004256E5" w:rsidP="00544892">
            <w:r>
              <w:t>503.</w:t>
            </w:r>
          </w:p>
        </w:tc>
        <w:tc>
          <w:tcPr>
            <w:tcW w:w="3388" w:type="dxa"/>
            <w:shd w:val="clear" w:color="auto" w:fill="FFFFFF"/>
            <w:noWrap/>
            <w:tcMar>
              <w:top w:w="75" w:type="dxa"/>
              <w:left w:w="75" w:type="dxa"/>
              <w:bottom w:w="75" w:type="dxa"/>
              <w:right w:w="75" w:type="dxa"/>
            </w:tcMar>
          </w:tcPr>
          <w:p w14:paraId="4468EBE5" w14:textId="77777777" w:rsidR="004256E5" w:rsidRDefault="004256E5" w:rsidP="00544892">
            <w:pPr>
              <w:spacing w:after="240"/>
              <w:rPr>
                <w:b/>
              </w:rPr>
            </w:pPr>
            <w:r>
              <w:rPr>
                <w:b/>
              </w:rPr>
              <w:t>Noteikumu projekts</w:t>
            </w:r>
          </w:p>
          <w:p w14:paraId="082E7A26" w14:textId="77777777" w:rsidR="004256E5" w:rsidRDefault="004256E5" w:rsidP="00544892">
            <w:r>
              <w:t>155. Šo noteikumu 21.–81., 85. un 88. punktā noteiktās prasības piemēro no 2025. gada 1. jūlija.</w:t>
            </w:r>
          </w:p>
        </w:tc>
        <w:tc>
          <w:tcPr>
            <w:tcW w:w="3388" w:type="dxa"/>
            <w:shd w:val="clear" w:color="auto" w:fill="FFFFFF"/>
            <w:noWrap/>
            <w:tcMar>
              <w:top w:w="75" w:type="dxa"/>
              <w:left w:w="75" w:type="dxa"/>
              <w:bottom w:w="75" w:type="dxa"/>
              <w:right w:w="75" w:type="dxa"/>
            </w:tcMar>
          </w:tcPr>
          <w:p w14:paraId="7A10C1FE" w14:textId="77777777" w:rsidR="004256E5" w:rsidRDefault="004256E5" w:rsidP="00544892">
            <w:pPr>
              <w:spacing w:after="240"/>
              <w:rPr>
                <w:b/>
              </w:rPr>
            </w:pPr>
            <w:r>
              <w:rPr>
                <w:b/>
              </w:rPr>
              <w:t>Iebildums (LPS - 09.04.2025.)</w:t>
            </w:r>
          </w:p>
          <w:p w14:paraId="6FEF2455" w14:textId="77777777" w:rsidR="004256E5" w:rsidRDefault="004256E5" w:rsidP="00544892">
            <w:r>
              <w:t>Noteikumu 155. punkts nosaka, ka “Šo noteikumu 21.–81., 85. un 88. punktā noteiktās prasības piemēro no 2025. gada 1. jūlija”.</w:t>
            </w:r>
          </w:p>
          <w:p w14:paraId="4451C2D8" w14:textId="77777777" w:rsidR="004256E5" w:rsidRDefault="004256E5" w:rsidP="00544892">
            <w: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 būt laikietilpīga, mēs rekomendējam šo termiņu </w:t>
            </w:r>
            <w:r>
              <w:lastRenderedPageBreak/>
              <w:t>aizvietot ar “piemēro no 2026. gada 1. janvāra”.</w:t>
            </w:r>
          </w:p>
          <w:p w14:paraId="0FACBCF3" w14:textId="77777777" w:rsidR="004256E5" w:rsidRDefault="004256E5" w:rsidP="00544892">
            <w:r>
              <w:t> </w:t>
            </w:r>
          </w:p>
          <w:p w14:paraId="70D98001" w14:textId="77777777" w:rsidR="004256E5" w:rsidRDefault="004256E5" w:rsidP="00544892">
            <w:pPr>
              <w:spacing w:before="240" w:after="240"/>
              <w:rPr>
                <w:i/>
              </w:rPr>
            </w:pPr>
            <w:r>
              <w:rPr>
                <w:i/>
              </w:rPr>
              <w:t>Piedāvātā redakcija</w:t>
            </w:r>
          </w:p>
          <w:p w14:paraId="63109C60" w14:textId="77777777" w:rsidR="004256E5" w:rsidRDefault="004256E5" w:rsidP="00544892">
            <w:r>
              <w:t>-</w:t>
            </w:r>
          </w:p>
        </w:tc>
        <w:tc>
          <w:tcPr>
            <w:tcW w:w="3388" w:type="dxa"/>
            <w:shd w:val="clear" w:color="auto" w:fill="FFFFFF"/>
            <w:noWrap/>
            <w:tcMar>
              <w:top w:w="75" w:type="dxa"/>
              <w:left w:w="75" w:type="dxa"/>
              <w:bottom w:w="75" w:type="dxa"/>
              <w:right w:w="75" w:type="dxa"/>
            </w:tcMar>
          </w:tcPr>
          <w:p w14:paraId="0F4BEC04" w14:textId="77777777" w:rsidR="004256E5" w:rsidRDefault="004256E5" w:rsidP="00544892">
            <w:pPr>
              <w:spacing w:after="240"/>
              <w:rPr>
                <w:b/>
              </w:rPr>
            </w:pPr>
            <w:r>
              <w:rPr>
                <w:b/>
              </w:rPr>
              <w:lastRenderedPageBreak/>
              <w:t>Nav ņemts vērā</w:t>
            </w:r>
          </w:p>
          <w:p w14:paraId="6EAA0076" w14:textId="77777777" w:rsidR="004256E5" w:rsidRDefault="004256E5" w:rsidP="00544892">
            <w:r>
              <w:t>Minētās normas pārņem NIS2 direktīvas prasības un jau šobrīd tiek kavēta direktīvas ieviešana, līdz ar to nav iespējams noteikt speciālu tālāku datumu, no kura varētu piemērot noteikumos minētās prasības. </w:t>
            </w:r>
          </w:p>
        </w:tc>
        <w:tc>
          <w:tcPr>
            <w:tcW w:w="3388" w:type="dxa"/>
            <w:shd w:val="clear" w:color="auto" w:fill="FFFFFF"/>
            <w:noWrap/>
            <w:tcMar>
              <w:top w:w="75" w:type="dxa"/>
              <w:left w:w="75" w:type="dxa"/>
              <w:bottom w:w="75" w:type="dxa"/>
              <w:right w:w="75" w:type="dxa"/>
            </w:tcMar>
          </w:tcPr>
          <w:p w14:paraId="0AE092C0" w14:textId="77777777" w:rsidR="004256E5" w:rsidRDefault="004256E5" w:rsidP="00544892">
            <w:r>
              <w:t>154. Subjekts, kas iegūs A, B vai C kategorijas IKT kritiskās infrastruktūras īpašnieka vai tiesiskā valdītāja statusu pēc šo noteikumu spēkā stāšanās brīža, nodrošina atbilstību šajos noteikumos noteiktajām prasībām divpadsmit mēnešu laikā no šo noteikumu 108.3. apakšpunktā norādītās informācijas saņemšanas brīža.</w:t>
            </w:r>
          </w:p>
        </w:tc>
      </w:tr>
      <w:tr w:rsidR="004256E5" w14:paraId="6FE3805C" w14:textId="77777777" w:rsidTr="00544892">
        <w:tc>
          <w:tcPr>
            <w:tcW w:w="1015" w:type="dxa"/>
            <w:shd w:val="clear" w:color="auto" w:fill="FFFFFF"/>
            <w:noWrap/>
            <w:tcMar>
              <w:top w:w="75" w:type="dxa"/>
              <w:left w:w="75" w:type="dxa"/>
              <w:bottom w:w="75" w:type="dxa"/>
              <w:right w:w="75" w:type="dxa"/>
            </w:tcMar>
          </w:tcPr>
          <w:p w14:paraId="65F6D134" w14:textId="77777777" w:rsidR="004256E5" w:rsidRDefault="004256E5" w:rsidP="00544892">
            <w:r>
              <w:t>504.</w:t>
            </w:r>
          </w:p>
        </w:tc>
        <w:tc>
          <w:tcPr>
            <w:tcW w:w="3388" w:type="dxa"/>
            <w:shd w:val="clear" w:color="auto" w:fill="FFFFFF"/>
            <w:noWrap/>
            <w:tcMar>
              <w:top w:w="75" w:type="dxa"/>
              <w:left w:w="75" w:type="dxa"/>
              <w:bottom w:w="75" w:type="dxa"/>
              <w:right w:w="75" w:type="dxa"/>
            </w:tcMar>
          </w:tcPr>
          <w:p w14:paraId="48C4B432" w14:textId="77777777" w:rsidR="004256E5" w:rsidRDefault="004256E5" w:rsidP="00544892">
            <w:pPr>
              <w:spacing w:after="240"/>
              <w:rPr>
                <w:b/>
              </w:rPr>
            </w:pPr>
            <w:r>
              <w:rPr>
                <w:b/>
              </w:rPr>
              <w:t>Noteikumu projekts</w:t>
            </w:r>
          </w:p>
          <w:p w14:paraId="3D41C91E" w14:textId="77777777" w:rsidR="004256E5" w:rsidRDefault="004256E5" w:rsidP="00544892">
            <w:r>
              <w:t>155. Šo noteikumu 21.–81., 85. un 88. punktā noteiktās prasības piemēro no 2025. gada 1. jūlija.</w:t>
            </w:r>
          </w:p>
        </w:tc>
        <w:tc>
          <w:tcPr>
            <w:tcW w:w="3388" w:type="dxa"/>
            <w:shd w:val="clear" w:color="auto" w:fill="FFFFFF"/>
            <w:noWrap/>
            <w:tcMar>
              <w:top w:w="75" w:type="dxa"/>
              <w:left w:w="75" w:type="dxa"/>
              <w:bottom w:w="75" w:type="dxa"/>
              <w:right w:w="75" w:type="dxa"/>
            </w:tcMar>
          </w:tcPr>
          <w:p w14:paraId="1FCD4D68" w14:textId="77777777" w:rsidR="004256E5" w:rsidRDefault="004256E5" w:rsidP="00544892">
            <w:pPr>
              <w:spacing w:after="240"/>
              <w:rPr>
                <w:b/>
              </w:rPr>
            </w:pPr>
            <w:r>
              <w:rPr>
                <w:b/>
              </w:rPr>
              <w:t>Iebildums (Sabiedrība ar ierobežotu atbildību "Cyber Audit" - 08.04.2025.)</w:t>
            </w:r>
          </w:p>
          <w:p w14:paraId="221F4987" w14:textId="77777777" w:rsidR="004256E5" w:rsidRDefault="004256E5" w:rsidP="00544892">
            <w:r>
              <w:t>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mēs rekomendējam šo termiņu aizvietot ar “piemēro no 2026.gada 1.janvāra”.</w:t>
            </w:r>
          </w:p>
          <w:p w14:paraId="2554831B" w14:textId="77777777" w:rsidR="004256E5" w:rsidRDefault="004256E5" w:rsidP="00544892">
            <w:r>
              <w:t> </w:t>
            </w:r>
          </w:p>
          <w:p w14:paraId="36366C17" w14:textId="77777777" w:rsidR="004256E5" w:rsidRDefault="004256E5" w:rsidP="00544892">
            <w:pPr>
              <w:spacing w:before="240" w:after="240"/>
              <w:rPr>
                <w:i/>
              </w:rPr>
            </w:pPr>
            <w:r>
              <w:rPr>
                <w:i/>
              </w:rPr>
              <w:t>Piedāvātā redakcija</w:t>
            </w:r>
          </w:p>
          <w:p w14:paraId="60DD7A8E" w14:textId="77777777" w:rsidR="004256E5" w:rsidRDefault="004256E5" w:rsidP="00544892">
            <w:r>
              <w:lastRenderedPageBreak/>
              <w:t>Mēs rekomendējam šo noteikuma punktu izteikt šādā redakcijā: "Šo noteikumu 21.–81., 85. un 88. punktā noteiktās prasības piemēro no 2026. gada 1. janvāra".</w:t>
            </w:r>
          </w:p>
        </w:tc>
        <w:tc>
          <w:tcPr>
            <w:tcW w:w="3388" w:type="dxa"/>
            <w:shd w:val="clear" w:color="auto" w:fill="FFFFFF"/>
            <w:noWrap/>
            <w:tcMar>
              <w:top w:w="75" w:type="dxa"/>
              <w:left w:w="75" w:type="dxa"/>
              <w:bottom w:w="75" w:type="dxa"/>
              <w:right w:w="75" w:type="dxa"/>
            </w:tcMar>
          </w:tcPr>
          <w:p w14:paraId="2BB38F60" w14:textId="77777777" w:rsidR="004256E5" w:rsidRDefault="004256E5" w:rsidP="00544892">
            <w:pPr>
              <w:spacing w:after="240"/>
              <w:rPr>
                <w:b/>
              </w:rPr>
            </w:pPr>
            <w:r>
              <w:rPr>
                <w:b/>
              </w:rPr>
              <w:lastRenderedPageBreak/>
              <w:t>Nav ņemts vērā</w:t>
            </w:r>
          </w:p>
          <w:p w14:paraId="22901E08" w14:textId="77777777" w:rsidR="004256E5" w:rsidRDefault="004256E5" w:rsidP="00544892">
            <w:r>
              <w:t>Minētās normas pārņem NIS2 direktīvas prasības un jau šobrīd tiek kavēta direktīvas ieviešana, līdz ar to nav iespējams noteikt speciālu tālāku datumu, no kura varētu piemērot noteikumos minētās prasības. </w:t>
            </w:r>
          </w:p>
        </w:tc>
        <w:tc>
          <w:tcPr>
            <w:tcW w:w="3388" w:type="dxa"/>
            <w:shd w:val="clear" w:color="auto" w:fill="FFFFFF"/>
            <w:noWrap/>
            <w:tcMar>
              <w:top w:w="75" w:type="dxa"/>
              <w:left w:w="75" w:type="dxa"/>
              <w:bottom w:w="75" w:type="dxa"/>
              <w:right w:w="75" w:type="dxa"/>
            </w:tcMar>
          </w:tcPr>
          <w:p w14:paraId="0DDCEFAD" w14:textId="77777777" w:rsidR="004256E5" w:rsidRDefault="004256E5" w:rsidP="00544892">
            <w:r>
              <w:t>154. Subjekts, kas iegūs A, B vai C kategorijas IKT kritiskās infrastruktūras īpašnieka vai tiesiskā valdītāja statusu pēc šo noteikumu spēkā stāšanās brīža, nodrošina atbilstību šajos noteikumos noteiktajām prasībām divpadsmit mēnešu laikā no šo noteikumu 108.3. apakšpunktā norādītās informācijas saņemšanas brīža.</w:t>
            </w:r>
          </w:p>
        </w:tc>
      </w:tr>
      <w:tr w:rsidR="004256E5" w14:paraId="6D023547" w14:textId="77777777" w:rsidTr="00544892">
        <w:tc>
          <w:tcPr>
            <w:tcW w:w="1015" w:type="dxa"/>
            <w:shd w:val="clear" w:color="auto" w:fill="FFFFFF"/>
            <w:noWrap/>
            <w:tcMar>
              <w:top w:w="75" w:type="dxa"/>
              <w:left w:w="75" w:type="dxa"/>
              <w:bottom w:w="75" w:type="dxa"/>
              <w:right w:w="75" w:type="dxa"/>
            </w:tcMar>
          </w:tcPr>
          <w:p w14:paraId="449E2289" w14:textId="77777777" w:rsidR="004256E5" w:rsidRDefault="004256E5" w:rsidP="00544892">
            <w:r>
              <w:t>547.</w:t>
            </w:r>
          </w:p>
        </w:tc>
        <w:tc>
          <w:tcPr>
            <w:tcW w:w="3388" w:type="dxa"/>
            <w:shd w:val="clear" w:color="auto" w:fill="FFFFFF"/>
            <w:noWrap/>
            <w:tcMar>
              <w:top w:w="75" w:type="dxa"/>
              <w:left w:w="75" w:type="dxa"/>
              <w:bottom w:w="75" w:type="dxa"/>
              <w:right w:w="75" w:type="dxa"/>
            </w:tcMar>
          </w:tcPr>
          <w:p w14:paraId="019FB3BF" w14:textId="77777777" w:rsidR="004256E5" w:rsidRDefault="004256E5" w:rsidP="00544892">
            <w:pPr>
              <w:spacing w:after="240"/>
              <w:rPr>
                <w:b/>
              </w:rPr>
            </w:pPr>
            <w:r>
              <w:rPr>
                <w:b/>
              </w:rPr>
              <w:t>Anotācija (ex-ante)</w:t>
            </w:r>
          </w:p>
          <w:p w14:paraId="66BF4EEC" w14:textId="77777777" w:rsidR="004256E5" w:rsidRDefault="004256E5" w:rsidP="00544892">
            <w:r>
              <w:t>3. Tiesību akta projekta ietekme uz valsts budžetu un pašvaldību budžetiem</w:t>
            </w:r>
          </w:p>
        </w:tc>
        <w:tc>
          <w:tcPr>
            <w:tcW w:w="3388" w:type="dxa"/>
            <w:shd w:val="clear" w:color="auto" w:fill="FFFFFF"/>
            <w:noWrap/>
            <w:tcMar>
              <w:top w:w="75" w:type="dxa"/>
              <w:left w:w="75" w:type="dxa"/>
              <w:bottom w:w="75" w:type="dxa"/>
              <w:right w:w="75" w:type="dxa"/>
            </w:tcMar>
          </w:tcPr>
          <w:p w14:paraId="544397D7" w14:textId="77777777" w:rsidR="004256E5" w:rsidRDefault="004256E5" w:rsidP="00544892">
            <w:pPr>
              <w:spacing w:after="240"/>
              <w:rPr>
                <w:b/>
              </w:rPr>
            </w:pPr>
            <w:r>
              <w:rPr>
                <w:b/>
              </w:rPr>
              <w:t>Iebildums (LM - 09.04.2025.)</w:t>
            </w:r>
          </w:p>
          <w:p w14:paraId="4024EBD2" w14:textId="77777777" w:rsidR="004256E5" w:rsidRDefault="004256E5" w:rsidP="00544892">
            <w:r>
              <w:t>MK noteikumu projektā ietverto pasākumu īstenošana ir saistīta ar papildu līdzekļu nepieciešamību LM budžetā, tai skaitā:</w:t>
            </w:r>
          </w:p>
          <w:p w14:paraId="6377B386" w14:textId="77777777" w:rsidR="004256E5" w:rsidRDefault="004256E5" w:rsidP="00544892">
            <w:r>
              <w:t>•            Noteikumu 68.punkta izpildei, ja tā redakcija paliek nemainīta, Labklājības ministrijai un tās padotības iestādēm informācijas sistēmu datu rezerves kopiju uzglabāšanai katru gadu būs nepieciešami papildus finanšu līdzekļi 100 000 Eur bez PVN apjomā.</w:t>
            </w:r>
          </w:p>
          <w:p w14:paraId="022F0C87" w14:textId="77777777" w:rsidR="004256E5" w:rsidRDefault="004256E5" w:rsidP="00544892">
            <w:r>
              <w:t>•            Noteikumu 52.1 punkta izpildei Labklājības ministrijas padotības iestādei divfaktoru autentifikācijas ieviešanai sistēmas administratora lietotāja kontam un standarta lietotāja kontam būs nepieciešami papildus finanšu līdzekļi 100 000 Eur bez PVN apjomā.</w:t>
            </w:r>
          </w:p>
          <w:p w14:paraId="62003949" w14:textId="77777777" w:rsidR="004256E5" w:rsidRDefault="004256E5" w:rsidP="00544892"/>
          <w:p w14:paraId="3DA27FBC" w14:textId="77777777" w:rsidR="004256E5" w:rsidRDefault="004256E5" w:rsidP="00544892">
            <w:r>
              <w:lastRenderedPageBreak/>
              <w:t>Līdz ar to, lūdzam papildināt anotācijas III sadaļu ar attiecīgo informāciju par papildu nepieciešamo finansējuma apmēru LM noteikumu projektā ietverto pasākumu īstenošanas nodrošināšanai un to, ka jautājums par papildu līdzekļu nepieciešamību skatāms Ministru kabinetā likumprojekta par valsts budžetu kārtējam gadam un budžeta ietvaru kārtējam un turpmākajie gadiem sagatavošanas un izskatīšanas procesā kopā ar visu ministriju un centrālo valsts iestāžu iesniegtajiem prioritāro pasākumu pieteikumiem atbilstoši attiecīgā gada valsts budžeta finansiālajām iespējām.</w:t>
            </w:r>
          </w:p>
          <w:p w14:paraId="1E0B3474" w14:textId="77777777" w:rsidR="004256E5" w:rsidRDefault="004256E5" w:rsidP="00544892">
            <w:pPr>
              <w:spacing w:before="240" w:after="240"/>
              <w:rPr>
                <w:i/>
              </w:rPr>
            </w:pPr>
            <w:r>
              <w:rPr>
                <w:i/>
              </w:rPr>
              <w:t>Piedāvātā redakcija</w:t>
            </w:r>
          </w:p>
          <w:p w14:paraId="2EE801DC" w14:textId="77777777" w:rsidR="004256E5" w:rsidRDefault="004256E5" w:rsidP="00544892">
            <w:r>
              <w:t>-</w:t>
            </w:r>
          </w:p>
        </w:tc>
        <w:tc>
          <w:tcPr>
            <w:tcW w:w="3388" w:type="dxa"/>
            <w:shd w:val="clear" w:color="auto" w:fill="FFFFFF"/>
            <w:noWrap/>
            <w:tcMar>
              <w:top w:w="75" w:type="dxa"/>
              <w:left w:w="75" w:type="dxa"/>
              <w:bottom w:w="75" w:type="dxa"/>
              <w:right w:w="75" w:type="dxa"/>
            </w:tcMar>
          </w:tcPr>
          <w:p w14:paraId="159C25D9" w14:textId="77777777" w:rsidR="004256E5" w:rsidRDefault="004256E5" w:rsidP="00544892">
            <w:pPr>
              <w:spacing w:after="240"/>
              <w:rPr>
                <w:b/>
              </w:rPr>
            </w:pPr>
            <w:r>
              <w:rPr>
                <w:b/>
              </w:rPr>
              <w:lastRenderedPageBreak/>
              <w:t>Nav ņemts vērā</w:t>
            </w:r>
          </w:p>
          <w:p w14:paraId="648145AE" w14:textId="77777777" w:rsidR="004256E5" w:rsidRDefault="004256E5" w:rsidP="00544892">
            <w:r>
              <w:t>Noteikumu projekta piemērošanai nav paredzēti papildu finanšu līdzekļi.</w:t>
            </w:r>
          </w:p>
          <w:p w14:paraId="2264AFE7" w14:textId="01232C10" w:rsidR="00F457E6" w:rsidRDefault="00F457E6" w:rsidP="00544892">
            <w:r>
              <w:t>Finanšu ministrija saskaņošanas sanāksmē vērsa uzmanību uz to, ka šo noteikumu projekta realizācija būs jānodrošina iestāžu esošā budžeta ietvaros.</w:t>
            </w:r>
          </w:p>
        </w:tc>
        <w:tc>
          <w:tcPr>
            <w:tcW w:w="3388" w:type="dxa"/>
            <w:shd w:val="clear" w:color="auto" w:fill="FFFFFF"/>
            <w:noWrap/>
            <w:tcMar>
              <w:top w:w="75" w:type="dxa"/>
              <w:left w:w="75" w:type="dxa"/>
              <w:bottom w:w="75" w:type="dxa"/>
              <w:right w:w="75" w:type="dxa"/>
            </w:tcMar>
          </w:tcPr>
          <w:p w14:paraId="0BBD01FE" w14:textId="77777777" w:rsidR="004256E5" w:rsidRDefault="004256E5" w:rsidP="00544892">
            <w:r>
              <w:t>3. Tiesību akta projekta ietekme uz valsts budžetu un pašvaldību budžetiem</w:t>
            </w:r>
          </w:p>
        </w:tc>
      </w:tr>
    </w:tbl>
    <w:p w14:paraId="0129CA7E" w14:textId="77777777" w:rsidR="004256E5" w:rsidRDefault="004256E5" w:rsidP="004256E5"/>
    <w:p w14:paraId="07425D8F" w14:textId="77777777" w:rsidR="00533F75" w:rsidRDefault="00533F75"/>
    <w:sectPr w:rsidR="00533F75">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4AA3" w14:textId="77777777" w:rsidR="00546F37" w:rsidRDefault="00546F37">
      <w:r>
        <w:separator/>
      </w:r>
    </w:p>
  </w:endnote>
  <w:endnote w:type="continuationSeparator" w:id="0">
    <w:p w14:paraId="16FBDE3F" w14:textId="77777777" w:rsidR="00546F37" w:rsidRDefault="00546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717A" w14:textId="77777777" w:rsidR="00000000" w:rsidRDefault="00A71F15">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09B5" w14:textId="77777777" w:rsidR="00000000" w:rsidRDefault="00A71F1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52203" w14:textId="77777777" w:rsidR="00546F37" w:rsidRDefault="00546F37">
      <w:r>
        <w:separator/>
      </w:r>
    </w:p>
  </w:footnote>
  <w:footnote w:type="continuationSeparator" w:id="0">
    <w:p w14:paraId="1A013808" w14:textId="77777777" w:rsidR="00546F37" w:rsidRDefault="00546F37">
      <w:r>
        <w:continuationSeparator/>
      </w:r>
    </w:p>
  </w:footnote>
  <w:footnote w:id="1">
    <w:p w14:paraId="1ACA61BE" w14:textId="77777777" w:rsidR="001A7119" w:rsidRDefault="001A7119" w:rsidP="001A7119">
      <w:pPr>
        <w:pStyle w:val="FootnoteText"/>
        <w:jc w:val="both"/>
      </w:pPr>
      <w:r>
        <w:rPr>
          <w:rStyle w:val="FootnoteReference"/>
          <w:rFonts w:eastAsia="Arial"/>
        </w:rPr>
        <w:footnoteRef/>
      </w:r>
      <w:r>
        <w:t xml:space="preserve"> </w:t>
      </w:r>
      <w:r w:rsidRPr="0016362E">
        <w:t>Eiropas Parlamenta un Padomes Direktīvas (ES) 2022/2555 (2022. gada 14. decembris), ar ko paredz pasākumus nolūkā panākt vienādi augstu kiberdrošības līmeni visā Savienībā un ar ko groza Regulu (ES) Nr. 910/2014 un Direktīvu (ES) 2018/1972 un atceļ Direktīvu (ES) 2016/1148 (TID 2 direktīva)</w:t>
      </w:r>
    </w:p>
  </w:footnote>
  <w:footnote w:id="2">
    <w:p w14:paraId="6D25A31F" w14:textId="77777777" w:rsidR="001A7119" w:rsidRPr="00FF17F9" w:rsidRDefault="001A7119" w:rsidP="001A7119">
      <w:pPr>
        <w:pStyle w:val="FootnoteText"/>
        <w:rPr>
          <w:lang w:val="lv-LV"/>
        </w:rPr>
      </w:pPr>
      <w:r>
        <w:rPr>
          <w:rStyle w:val="FootnoteReference"/>
          <w:rFonts w:eastAsia="Arial"/>
        </w:rPr>
        <w:footnoteRef/>
      </w:r>
      <w:r>
        <w:t xml:space="preserve"> </w:t>
      </w:r>
      <w:hyperlink r:id="rId1" w:anchor="CO" w:history="1">
        <w:r w:rsidRPr="00103493">
          <w:rPr>
            <w:rStyle w:val="Hyperlink"/>
            <w:rFonts w:eastAsia="Palatino"/>
          </w:rPr>
          <w:t>https://eur-lex.europa.eu/legal-content/EN/TXT/?uri=CELEX%3A61983CJ0072&amp;qid=1748331533541#CO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EDBC" w14:textId="77777777" w:rsidR="00000000" w:rsidRDefault="00A71F15">
    <w:pPr>
      <w:pStyle w:val="titleparagraph"/>
      <w:contextualSpacing w:val="0"/>
    </w:pPr>
    <w:r>
      <w:t>Izziņa 22-TA-3183</w:t>
    </w:r>
    <w:r>
      <w:br/>
      <w:t>Izdrukāts 09.05.2025. 13.34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5B5B" w14:textId="77777777" w:rsidR="00000000" w:rsidRDefault="00A71F15">
    <w:pPr>
      <w:pStyle w:val="titleparagraph"/>
      <w:contextualSpacing w:val="0"/>
    </w:pPr>
    <w:r>
      <w:t>Izziņa 22-TA-3183</w:t>
    </w:r>
    <w:r>
      <w:br/>
      <w:t>Izdrukāts 09.05.2025. 13.34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E678E"/>
    <w:multiLevelType w:val="hybridMultilevel"/>
    <w:tmpl w:val="4006B2CE"/>
    <w:lvl w:ilvl="0" w:tplc="35740D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904AB1"/>
    <w:multiLevelType w:val="multilevel"/>
    <w:tmpl w:val="5482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451206">
    <w:abstractNumId w:val="0"/>
  </w:num>
  <w:num w:numId="2" w16cid:durableId="1164976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6E5"/>
    <w:rsid w:val="00066E4A"/>
    <w:rsid w:val="000F7E01"/>
    <w:rsid w:val="001A7119"/>
    <w:rsid w:val="001B4183"/>
    <w:rsid w:val="00306D9A"/>
    <w:rsid w:val="0036640D"/>
    <w:rsid w:val="00402B50"/>
    <w:rsid w:val="004256E5"/>
    <w:rsid w:val="00453DF3"/>
    <w:rsid w:val="00533F75"/>
    <w:rsid w:val="00546F37"/>
    <w:rsid w:val="005F3EEF"/>
    <w:rsid w:val="007046C5"/>
    <w:rsid w:val="007817AC"/>
    <w:rsid w:val="008179AF"/>
    <w:rsid w:val="00943CD0"/>
    <w:rsid w:val="009E2808"/>
    <w:rsid w:val="00A71F15"/>
    <w:rsid w:val="00AB115D"/>
    <w:rsid w:val="00AB783C"/>
    <w:rsid w:val="00B67B89"/>
    <w:rsid w:val="00C16CFC"/>
    <w:rsid w:val="00C855A7"/>
    <w:rsid w:val="00C90632"/>
    <w:rsid w:val="00DE7EDC"/>
    <w:rsid w:val="00F457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EE30"/>
  <w15:chartTrackingRefBased/>
  <w15:docId w15:val="{A96EDA26-FFA9-47DA-977C-6BAD4CE8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6E5"/>
    <w:pPr>
      <w:jc w:val="both"/>
    </w:pPr>
    <w:rPr>
      <w:rFonts w:ascii="Times New Roman" w:eastAsia="Times New Roman" w:hAnsi="Times New Roman" w:cs="Times New Roman"/>
      <w:color w:val="333333"/>
      <w:sz w:val="24"/>
      <w:szCs w:val="20"/>
      <w:lang w:eastAsia="lv-LV"/>
    </w:rPr>
  </w:style>
  <w:style w:type="paragraph" w:styleId="Heading1">
    <w:name w:val="heading 1"/>
    <w:basedOn w:val="Normal"/>
    <w:next w:val="Normal"/>
    <w:link w:val="Heading1Char"/>
    <w:uiPriority w:val="9"/>
    <w:qFormat/>
    <w:rsid w:val="004256E5"/>
    <w:pPr>
      <w:spacing w:after="120"/>
      <w:contextualSpacing/>
      <w:outlineLvl w:val="0"/>
    </w:pPr>
    <w:rPr>
      <w:rFonts w:ascii="Palatino" w:eastAsia="Palatino" w:hAnsi="Palatino" w:cs="Palatino"/>
      <w:sz w:val="36"/>
    </w:rPr>
  </w:style>
  <w:style w:type="paragraph" w:styleId="Heading2">
    <w:name w:val="heading 2"/>
    <w:basedOn w:val="Normal"/>
    <w:next w:val="Normal"/>
    <w:link w:val="Heading2Char"/>
    <w:uiPriority w:val="9"/>
    <w:semiHidden/>
    <w:unhideWhenUsed/>
    <w:qFormat/>
    <w:rsid w:val="004256E5"/>
    <w:pPr>
      <w:spacing w:before="120" w:after="160"/>
      <w:contextualSpacing/>
      <w:outlineLvl w:val="1"/>
    </w:pPr>
    <w:rPr>
      <w:rFonts w:ascii="Arial" w:eastAsia="Arial" w:hAnsi="Arial" w:cs="Arial"/>
      <w:b/>
      <w:sz w:val="26"/>
    </w:rPr>
  </w:style>
  <w:style w:type="paragraph" w:styleId="Heading3">
    <w:name w:val="heading 3"/>
    <w:basedOn w:val="Normal"/>
    <w:next w:val="Normal"/>
    <w:link w:val="Heading3Char"/>
    <w:uiPriority w:val="9"/>
    <w:semiHidden/>
    <w:unhideWhenUsed/>
    <w:qFormat/>
    <w:rsid w:val="004256E5"/>
    <w:pPr>
      <w:spacing w:before="120" w:after="160"/>
      <w:contextualSpacing/>
      <w:outlineLvl w:val="2"/>
    </w:pPr>
    <w:rPr>
      <w:rFonts w:ascii="Arial" w:eastAsia="Arial" w:hAnsi="Arial" w:cs="Arial"/>
      <w:b/>
      <w:i/>
      <w:color w:val="666666"/>
    </w:rPr>
  </w:style>
  <w:style w:type="paragraph" w:styleId="Heading4">
    <w:name w:val="heading 4"/>
    <w:basedOn w:val="Normal"/>
    <w:next w:val="Normal"/>
    <w:link w:val="Heading4Char"/>
    <w:uiPriority w:val="9"/>
    <w:semiHidden/>
    <w:unhideWhenUsed/>
    <w:qFormat/>
    <w:rsid w:val="004256E5"/>
    <w:pPr>
      <w:spacing w:before="120" w:after="120"/>
      <w:contextualSpacing/>
      <w:outlineLvl w:val="3"/>
    </w:pPr>
    <w:rPr>
      <w:rFonts w:ascii="Palatino" w:eastAsia="Palatino" w:hAnsi="Palatino" w:cs="Palatino"/>
      <w:b/>
    </w:rPr>
  </w:style>
  <w:style w:type="paragraph" w:styleId="Heading5">
    <w:name w:val="heading 5"/>
    <w:basedOn w:val="Normal"/>
    <w:next w:val="Normal"/>
    <w:link w:val="Heading5Char"/>
    <w:uiPriority w:val="9"/>
    <w:semiHidden/>
    <w:unhideWhenUsed/>
    <w:qFormat/>
    <w:rsid w:val="004256E5"/>
    <w:pPr>
      <w:spacing w:before="120" w:after="120"/>
      <w:contextualSpacing/>
      <w:outlineLvl w:val="4"/>
    </w:pPr>
    <w:rPr>
      <w:rFonts w:ascii="Arial" w:eastAsia="Arial" w:hAnsi="Arial" w:cs="Arial"/>
      <w:b/>
      <w:sz w:val="22"/>
    </w:rPr>
  </w:style>
  <w:style w:type="paragraph" w:styleId="Heading6">
    <w:name w:val="heading 6"/>
    <w:basedOn w:val="Normal"/>
    <w:next w:val="Normal"/>
    <w:link w:val="Heading6Char"/>
    <w:uiPriority w:val="9"/>
    <w:semiHidden/>
    <w:unhideWhenUsed/>
    <w:qFormat/>
    <w:rsid w:val="004256E5"/>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6E5"/>
    <w:rPr>
      <w:rFonts w:ascii="Palatino" w:eastAsia="Palatino" w:hAnsi="Palatino" w:cs="Palatino"/>
      <w:color w:val="333333"/>
      <w:sz w:val="36"/>
      <w:szCs w:val="20"/>
      <w:lang w:eastAsia="lv-LV"/>
    </w:rPr>
  </w:style>
  <w:style w:type="character" w:customStyle="1" w:styleId="Heading2Char">
    <w:name w:val="Heading 2 Char"/>
    <w:basedOn w:val="DefaultParagraphFont"/>
    <w:link w:val="Heading2"/>
    <w:uiPriority w:val="9"/>
    <w:semiHidden/>
    <w:rsid w:val="004256E5"/>
    <w:rPr>
      <w:rFonts w:ascii="Arial" w:eastAsia="Arial" w:hAnsi="Arial" w:cs="Arial"/>
      <w:b/>
      <w:color w:val="333333"/>
      <w:sz w:val="26"/>
      <w:szCs w:val="20"/>
      <w:lang w:eastAsia="lv-LV"/>
    </w:rPr>
  </w:style>
  <w:style w:type="character" w:customStyle="1" w:styleId="Heading3Char">
    <w:name w:val="Heading 3 Char"/>
    <w:basedOn w:val="DefaultParagraphFont"/>
    <w:link w:val="Heading3"/>
    <w:uiPriority w:val="9"/>
    <w:semiHidden/>
    <w:rsid w:val="004256E5"/>
    <w:rPr>
      <w:rFonts w:ascii="Arial" w:eastAsia="Arial" w:hAnsi="Arial" w:cs="Arial"/>
      <w:b/>
      <w:i/>
      <w:color w:val="666666"/>
      <w:sz w:val="24"/>
      <w:szCs w:val="20"/>
      <w:lang w:eastAsia="lv-LV"/>
    </w:rPr>
  </w:style>
  <w:style w:type="character" w:customStyle="1" w:styleId="Heading4Char">
    <w:name w:val="Heading 4 Char"/>
    <w:basedOn w:val="DefaultParagraphFont"/>
    <w:link w:val="Heading4"/>
    <w:uiPriority w:val="9"/>
    <w:semiHidden/>
    <w:rsid w:val="004256E5"/>
    <w:rPr>
      <w:rFonts w:ascii="Palatino" w:eastAsia="Palatino" w:hAnsi="Palatino" w:cs="Palatino"/>
      <w:b/>
      <w:color w:val="333333"/>
      <w:sz w:val="24"/>
      <w:szCs w:val="20"/>
      <w:lang w:eastAsia="lv-LV"/>
    </w:rPr>
  </w:style>
  <w:style w:type="character" w:customStyle="1" w:styleId="Heading5Char">
    <w:name w:val="Heading 5 Char"/>
    <w:basedOn w:val="DefaultParagraphFont"/>
    <w:link w:val="Heading5"/>
    <w:uiPriority w:val="9"/>
    <w:semiHidden/>
    <w:rsid w:val="004256E5"/>
    <w:rPr>
      <w:rFonts w:ascii="Arial" w:eastAsia="Arial" w:hAnsi="Arial" w:cs="Arial"/>
      <w:b/>
      <w:color w:val="333333"/>
      <w:szCs w:val="20"/>
      <w:lang w:eastAsia="lv-LV"/>
    </w:rPr>
  </w:style>
  <w:style w:type="character" w:customStyle="1" w:styleId="Heading6Char">
    <w:name w:val="Heading 6 Char"/>
    <w:basedOn w:val="DefaultParagraphFont"/>
    <w:link w:val="Heading6"/>
    <w:uiPriority w:val="9"/>
    <w:semiHidden/>
    <w:rsid w:val="004256E5"/>
    <w:rPr>
      <w:rFonts w:ascii="Arial" w:eastAsia="Arial" w:hAnsi="Arial" w:cs="Arial"/>
      <w:i/>
      <w:color w:val="666666"/>
      <w:szCs w:val="20"/>
      <w:u w:val="single"/>
      <w:lang w:eastAsia="lv-LV"/>
    </w:rPr>
  </w:style>
  <w:style w:type="character" w:customStyle="1" w:styleId="TitleChar">
    <w:name w:val="Title Char"/>
    <w:basedOn w:val="DefaultParagraphFont"/>
    <w:link w:val="Title"/>
    <w:uiPriority w:val="10"/>
    <w:rsid w:val="004256E5"/>
    <w:rPr>
      <w:rFonts w:ascii="Palatino" w:eastAsia="Palatino" w:hAnsi="Palatino" w:cs="Palatino"/>
      <w:color w:val="333333"/>
      <w:sz w:val="60"/>
      <w:szCs w:val="20"/>
      <w:lang w:eastAsia="lv-LV"/>
    </w:rPr>
  </w:style>
  <w:style w:type="paragraph" w:styleId="Title">
    <w:name w:val="Title"/>
    <w:basedOn w:val="Normal"/>
    <w:next w:val="Normal"/>
    <w:link w:val="TitleChar"/>
    <w:uiPriority w:val="10"/>
    <w:qFormat/>
    <w:rsid w:val="004256E5"/>
    <w:pPr>
      <w:contextualSpacing/>
    </w:pPr>
    <w:rPr>
      <w:rFonts w:ascii="Palatino" w:eastAsia="Palatino" w:hAnsi="Palatino" w:cs="Palatino"/>
      <w:sz w:val="60"/>
    </w:rPr>
  </w:style>
  <w:style w:type="character" w:customStyle="1" w:styleId="SubtitleChar">
    <w:name w:val="Subtitle Char"/>
    <w:basedOn w:val="DefaultParagraphFont"/>
    <w:link w:val="Subtitle"/>
    <w:uiPriority w:val="11"/>
    <w:rsid w:val="004256E5"/>
    <w:rPr>
      <w:rFonts w:ascii="Arial" w:eastAsia="Arial" w:hAnsi="Arial" w:cs="Arial"/>
      <w:color w:val="333333"/>
      <w:sz w:val="28"/>
      <w:szCs w:val="20"/>
      <w:lang w:eastAsia="lv-LV"/>
    </w:rPr>
  </w:style>
  <w:style w:type="paragraph" w:styleId="Subtitle">
    <w:name w:val="Subtitle"/>
    <w:basedOn w:val="Normal"/>
    <w:next w:val="Normal"/>
    <w:link w:val="SubtitleChar"/>
    <w:uiPriority w:val="11"/>
    <w:qFormat/>
    <w:rsid w:val="004256E5"/>
    <w:pPr>
      <w:spacing w:before="60"/>
      <w:contextualSpacing/>
    </w:pPr>
    <w:rPr>
      <w:rFonts w:ascii="Arial" w:eastAsia="Arial" w:hAnsi="Arial" w:cs="Arial"/>
      <w:sz w:val="28"/>
    </w:rPr>
  </w:style>
  <w:style w:type="character" w:customStyle="1" w:styleId="HeaderChar">
    <w:name w:val="Header Char"/>
    <w:basedOn w:val="DefaultParagraphFont"/>
    <w:link w:val="Header"/>
    <w:rsid w:val="004256E5"/>
    <w:rPr>
      <w:rFonts w:ascii="Times New Roman" w:eastAsia="Times New Roman" w:hAnsi="Times New Roman" w:cs="Times New Roman"/>
      <w:color w:val="333333"/>
      <w:sz w:val="24"/>
      <w:szCs w:val="20"/>
      <w:lang w:eastAsia="lv-LV"/>
    </w:rPr>
  </w:style>
  <w:style w:type="paragraph" w:styleId="Header">
    <w:name w:val="header"/>
    <w:basedOn w:val="Normal"/>
    <w:next w:val="Normal"/>
    <w:link w:val="HeaderChar"/>
    <w:rsid w:val="004256E5"/>
    <w:pPr>
      <w:spacing w:after="280"/>
      <w:contextualSpacing/>
      <w:jc w:val="right"/>
    </w:pPr>
  </w:style>
  <w:style w:type="paragraph" w:customStyle="1" w:styleId="titleparagraph">
    <w:name w:val="title_paragraph"/>
    <w:basedOn w:val="Normal"/>
    <w:next w:val="Normal"/>
    <w:rsid w:val="004256E5"/>
    <w:pPr>
      <w:spacing w:after="280"/>
      <w:contextualSpacing/>
    </w:pPr>
    <w:rPr>
      <w:b/>
      <w:sz w:val="28"/>
    </w:rPr>
  </w:style>
  <w:style w:type="paragraph" w:customStyle="1" w:styleId="oj-normal">
    <w:name w:val="oj-normal"/>
    <w:basedOn w:val="Normal"/>
    <w:rsid w:val="001A7119"/>
    <w:pPr>
      <w:spacing w:before="100" w:beforeAutospacing="1" w:after="100" w:afterAutospacing="1"/>
      <w:jc w:val="left"/>
    </w:pPr>
    <w:rPr>
      <w:color w:val="auto"/>
      <w:szCs w:val="24"/>
    </w:rPr>
  </w:style>
  <w:style w:type="paragraph" w:styleId="FootnoteText">
    <w:name w:val="footnote text"/>
    <w:basedOn w:val="Normal"/>
    <w:link w:val="FootnoteTextChar"/>
    <w:uiPriority w:val="99"/>
    <w:semiHidden/>
    <w:unhideWhenUsed/>
    <w:rsid w:val="001A7119"/>
    <w:pPr>
      <w:jc w:val="left"/>
    </w:pPr>
    <w:rPr>
      <w:color w:val="auto"/>
      <w:sz w:val="20"/>
      <w:lang w:val="en-US" w:eastAsia="en-US"/>
    </w:rPr>
  </w:style>
  <w:style w:type="character" w:customStyle="1" w:styleId="FootnoteTextChar">
    <w:name w:val="Footnote Text Char"/>
    <w:basedOn w:val="DefaultParagraphFont"/>
    <w:link w:val="FootnoteText"/>
    <w:uiPriority w:val="99"/>
    <w:semiHidden/>
    <w:rsid w:val="001A711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1A7119"/>
    <w:rPr>
      <w:vertAlign w:val="superscript"/>
    </w:rPr>
  </w:style>
  <w:style w:type="character" w:styleId="Hyperlink">
    <w:name w:val="Hyperlink"/>
    <w:basedOn w:val="DefaultParagraphFont"/>
    <w:uiPriority w:val="99"/>
    <w:unhideWhenUsed/>
    <w:rsid w:val="001A7119"/>
    <w:rPr>
      <w:color w:val="0563C1" w:themeColor="hyperlink"/>
      <w:u w:val="single"/>
    </w:rPr>
  </w:style>
  <w:style w:type="character" w:customStyle="1" w:styleId="s1">
    <w:name w:val="s1"/>
    <w:basedOn w:val="DefaultParagraphFont"/>
    <w:rsid w:val="001A7119"/>
  </w:style>
  <w:style w:type="character" w:customStyle="1" w:styleId="s2">
    <w:name w:val="s2"/>
    <w:basedOn w:val="DefaultParagraphFont"/>
    <w:rsid w:val="001A7119"/>
  </w:style>
  <w:style w:type="character" w:customStyle="1" w:styleId="s3">
    <w:name w:val="s3"/>
    <w:basedOn w:val="DefaultParagraphFont"/>
    <w:rsid w:val="001A7119"/>
  </w:style>
  <w:style w:type="paragraph" w:styleId="Footer">
    <w:name w:val="footer"/>
    <w:basedOn w:val="Normal"/>
    <w:link w:val="FooterChar"/>
    <w:uiPriority w:val="99"/>
    <w:unhideWhenUsed/>
    <w:rsid w:val="007046C5"/>
    <w:pPr>
      <w:tabs>
        <w:tab w:val="center" w:pos="4680"/>
        <w:tab w:val="right" w:pos="9360"/>
      </w:tabs>
    </w:pPr>
  </w:style>
  <w:style w:type="character" w:customStyle="1" w:styleId="FooterChar">
    <w:name w:val="Footer Char"/>
    <w:basedOn w:val="DefaultParagraphFont"/>
    <w:link w:val="Footer"/>
    <w:uiPriority w:val="99"/>
    <w:rsid w:val="007046C5"/>
    <w:rPr>
      <w:rFonts w:ascii="Times New Roman" w:eastAsia="Times New Roman" w:hAnsi="Times New Roman" w:cs="Times New Roman"/>
      <w:color w:val="333333"/>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10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61983CJ0072&amp;qid=17483315335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38</Pages>
  <Words>8102</Words>
  <Characters>46183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Godmane</dc:creator>
  <cp:keywords/>
  <dc:description/>
  <cp:lastModifiedBy>Inga Godmane</cp:lastModifiedBy>
  <cp:revision>3</cp:revision>
  <cp:lastPrinted>2025-05-29T07:28:00Z</cp:lastPrinted>
  <dcterms:created xsi:type="dcterms:W3CDTF">2025-06-02T19:52:00Z</dcterms:created>
  <dcterms:modified xsi:type="dcterms:W3CDTF">2025-06-02T19:57:00Z</dcterms:modified>
</cp:coreProperties>
</file>