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23-TA-1978: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8. janvāra noteikumos Nr. 9 "Lauksaimniecības, zivsaimniecības un lauku attīstības garantiju programmas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22. punktā ietvertos grozījumus, kas nosaka izmaiņas spēkā esošo garantiju apmērā, ko plānots palielināt no 1 000 000 </w:t>
            </w:r>
            <w:r w:rsidR="00000000" w:rsidRPr="00000000" w:rsidDel="00000000">
              <w:rPr>
                <w:i w:val="1"/>
                <w:rtl w:val="0"/>
              </w:rPr>
              <w:t xml:space="preserve">euro </w:t>
            </w:r>
            <w:r w:rsidR="00000000" w:rsidRPr="00000000" w:rsidDel="00000000">
              <w:rPr>
                <w:rtl w:val="0"/>
              </w:rPr>
              <w:t xml:space="preserve"> līdz 1 500 000 </w:t>
            </w:r>
            <w:r w:rsidR="00000000" w:rsidRPr="00000000" w:rsidDel="00000000">
              <w:rPr>
                <w:i w:val="1"/>
                <w:rtl w:val="0"/>
              </w:rPr>
              <w:t xml:space="preserve">euro</w:t>
            </w:r>
            <w:r w:rsidR="00000000" w:rsidRPr="00000000" w:rsidDel="00000000">
              <w:rPr>
                <w:rtl w:val="0"/>
              </w:rPr>
              <w:t xml:space="preserve">, lūdzam anotācijas 1.3. punkta sadaļā “Risinājuma apraksts” sniegt skaidrojumu, kāpēc tas tiek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divu gadu laikā, vērojams būtisks izmaksu sadārdzinājums, ņemot vērā inflāciju, energoresursu cenu pieaugumu, kā arī ar to saistīto kopējo izmaksu kāpumu. Lai salāgotu maksimālās garantijas apmēru ar pieaugošajām izmaksām, un novērtu situācijas, kurās maksimālā garantija nav pietiekoša investīciju projektu finansēšanai, noteikumu projekts paredz palielināt maksimālo garantijas limitu vienam vienotam uzņēmumam līdz 1 500 000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punkta sadaļā “Risinājuma apraksts” sniegto skaidrojumu par noteikumu projekta 6.punktā paredzēto, jo 4.</w:t>
            </w:r>
            <w:r w:rsidR="00000000" w:rsidRPr="00000000" w:rsidDel="00000000">
              <w:rPr>
                <w:vertAlign w:val="superscript"/>
                <w:rtl w:val="0"/>
              </w:rPr>
              <w:t xml:space="preserve">2</w:t>
            </w:r>
            <w:r w:rsidR="00000000" w:rsidRPr="00000000" w:rsidDel="00000000">
              <w:rPr>
                <w:rtl w:val="0"/>
              </w:rPr>
              <w:t xml:space="preserve"> punktā, kuru paredzēts svītrot, noteiktajam garantiju piešķiršanas nosacījumam nav saistības ar  Krievijas un Ukrainas kara radītajām sekām uz lauksaimniecības, zvejniecības un akvakultūras nozari – energoresursu un izejvielu sadārdzinājumu – un 2023. gada nelabvēlīgo laikapstākļu radītajām sekām.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sniegtās informācijas nav skaidri noprotama ietekme uz vispārējās valdības budžeta bilanci, tādēļ lūdzam anotāciju papildināt ar plānoto ietekmi uz vispārējo valdības budžeta bilanci atbilstoši Eiropas kontu sistēmas metodoloģijai.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 sadaļu, norādot noteikumu projektā ietverto grozījumu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punktu izvērtējumu atbilstoši Komisijas regulai Nr. 1407/2013, šobrīd I tabulā ietvertais izvērtējums korekti neatspoguļo noteikumos ietvertās Komisijas regulas Nr.1407/2013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 lauku teritoriju, lauksaimniecības un mežsaimniecības attīstībai saskaņā ar Komisijas 2013. gada 18. decembra Regulu (EK)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regula Nr. 1408/2013) un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punkta redakciju, ņemot vērā, ka atbalstu lauku teritoriju, lauksaimniecības un mežsaimniecības attīstībai, sniegs vai nu ar Komisijas regulu Nr. 1408/2013, vai nu Komisijas regulu Nr. 1407/2013, nevis vienlaicīgi ar abām.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 lauku teritoriju – visa Latvijas teritorija, izņemot valstspilsētas, un mežsaimniecības attīstības pasākumiem saskaņā ar regulu Nr. 1407/2013, izmantojot šo noteikumu 4.1. apakšpunktā minēto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garantijas saņēmēja kredītreitings ir zemāks par "B –" saskaņā ar šo noteikumu 2. pielikumā noteikto metodiku un saimnieciskā darbība nav dzīvotspējīga, izņemot šo noteikumu 18.1. un 18.2. apakšpunktā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piešķirot atbalstu ar Komisijas regulu Nr.1407/2013, arī noteikumu 18.1. un 18.2. apakšpunktā minētais ir vērtējams kā jauns atbalsta piešķīrums. Attiecīgi - pirms pieņemt lēmumu par de minimis atbalsta piešķiršanu ar Komisijas regulu Nr.1407/2013, ir jāizvērtē visi de minimis atbalsta nosacījumi, t.sk., liela uzņēmuma gadījumā jāpārliecinās, ka tas ir situācijā, kas pielīdzināma vismaz B- kredītreitingam. Ievērojot izteikto iebildumu, lūdzam precizēt noteikumu projektu, kā arī noteikt noteikumu projektā nosacījumu, ka, ja tiek pagarināts iepriekš izsniegtas sabiedrības "Altum" garantijas termiņš, sabiedrība "Altum" izvērtē un pārbauda atbilstību de minimis regulējuma nosacījumiem. Lūdzam ar atbilstošu skaidrojumu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ir noteikta noteikumu IV sadaļā “Garantijas prēmijas un subsīdijas ekvivalenta aprēķināšanas kārtība” 21.puntkā un tā apakšpunktos, kura nosaka subsīdijas ekvivalenta aprēķināšanas kārtību attiecībā uz garantijas piešķiršanu, gan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9.3. apakšpunkts nosaka neatbalstāmās darbības – attiecībā uz jaunu finanšu pakalpojumu atbalstīšanu. Attiecīgi ir precizēti  nosacījumi sadaļā, precizējot 21.1., 21.2. un 21.3 apakšpunktus ar atsauci Komisijas regulu Nr. 1407/2013, 1408/2013 un  717/2014 4. panta 6.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lielajam saimnieciskās darbības veicējam kredītreitings ir zemāks par "B –" saskaņā ar šo noteikumu 2. pielikumā noteikto metodiku un saimnieciskā darbība nav dzīvotspējīga, izņemot šo noteikumu 18.1. un 18.2. apakšpunktā minētajos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garantijas saņēmēja kredītreitings ir zemāks par "B –" saskaņā ar šo noteikumu 2. pielikumā noteikto metodiku un saimnieciskā darbība nav dzīvotspējīga, izņemot šo noteikumu 18.1. un 18.2. apakšpunktā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izmaiņas, kas veiktas noteikumu 9.3.apakšpunktā, kā arī to, ka atbalsts šo noteikumu ietvaros tiek sniegts arī ar Komisijas regulu Nr.1407/2013, lūdzam anotācijas V sadaļā sniegt skaidrojumu, kādēļ garantijas saņēmējiem tiek noteiktas stingrākas prasības, nekā to paredz Komisijas regula Nr.1407/20134 4.panta 6.punkta a)apakšpunkts, t.i., lielo uzņēmumu gadījumā, saņēmējam jābūt situācijā, kas pielīdzināma vismaz B- kredītreitingam.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lielajam saimnieciskās darbības veicējam kredītreitings ir zemāks par "B –" saskaņā ar šo noteikumu 2. pielikumā noteikto metodiku un saimnieciskā darbība nav dzīvotspējīga, izņemot šo noteikumu 18.1. un 18.2. apakšpunktā minētajos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Spēkā esošo garantiju apmērs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saņēmējiem, pretendējot uz atbalstu saskaņā ar Komisijas regulu 1407/2013, ir jābūt skaidriem šajā regulā noteiktajiem atbalsta apjoma ierobežojumiem, attiecīgi lūdzam 19.punkta apakšpunktos nedzēst norādes, ka: </w:t>
            </w:r>
            <w:r w:rsidR="00000000" w:rsidRPr="00000000" w:rsidDel="00000000">
              <w:rPr>
                <w:i w:val="1"/>
                <w:rtl w:val="0"/>
              </w:rPr>
              <w:t xml:space="preserve">ja šo noteikumu ietvaros atbalstu piešķir saskaņā ar regulu Nr. 1407/2013, atbalstu piešķir viena vienota uzņēmuma līmenī un ievēro šo noteikumu 21.1. un 23.1. apakšpunktā minētos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19.panta ievaddaļa. Skaidrojam, ka minētie maksimālie garantijas apmēri konkrētajai galasaņēmēju kategorijai noteikti neatkarīgi no piemērojamā valsts atbalsta regulējuma. Proti, maksimālais ierobežojums attiecas ne tikai uz atbalstu, kas sniegts saskaņā ar attiecīgās jomas de minimis regulu, bet arī ar regulu  2022/2472, kā arī regulu 1305/2013.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Spēkā esošo garantiju apmērs viena vienota uzņēmuma līmenī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Papildus šo noteikumu 19. punktā noteiktajiem limitiem, piešķirot garantiju lielajiem saimnieciskās darbības veicējiem kā </w:t>
            </w:r>
            <w:r w:rsidR="00000000" w:rsidRPr="00000000" w:rsidDel="00000000">
              <w:rPr>
                <w:i w:val="1"/>
                <w:rtl w:val="0"/>
              </w:rPr>
              <w:t xml:space="preserve">de minimis</w:t>
            </w:r>
            <w:r w:rsidR="00000000" w:rsidRPr="00000000" w:rsidDel="00000000">
              <w:rPr>
                <w:rtl w:val="0"/>
              </w:rPr>
              <w:t xml:space="preserve"> atbalstu, ņem vērā regulas Nr. 1407/2013 4. panta 6. punkta “b" apakšpunktā, regulas Nr. 1408/2013 4. panta 6. punkta "b" apakšpunktā un regulas Nr. 717/2014  4. panta 6. punkta "b" apakšpunktā noteiktos garantijas summas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19.</w:t>
            </w:r>
            <w:r w:rsidR="00000000" w:rsidRPr="00000000" w:rsidDel="00000000">
              <w:rPr>
                <w:vertAlign w:val="superscript"/>
                <w:rtl w:val="0"/>
              </w:rPr>
              <w:t xml:space="preserve">1</w:t>
            </w:r>
            <w:r w:rsidR="00000000" w:rsidRPr="00000000" w:rsidDel="00000000">
              <w:rPr>
                <w:rtl w:val="0"/>
              </w:rPr>
              <w:t xml:space="preserve">punktu tā, lai būtu skaidrs, ka, piemēram, atbalstu sniedzot ar Komisijas regulu Nr.1407/2013, ir jāievēro konkrētajā de minimis regulā noteiktais garantijas apmērs, t.i., Komisijas regulas Nr.1407/2013  4. panta 6. punkta “b" apakšpunktā noteiktais, nevis normā ietvertās visās uzskaitītajās regulās minētais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Papildus šo noteikumu 19. punktā noteiktajam spēkā esošo garantiju apmēram, piešķirot garantiju lielajiem saimnieciskās darbības veicējiem kā </w:t>
            </w:r>
            <w:r w:rsidR="00000000" w:rsidRPr="00000000" w:rsidDel="00000000">
              <w:rPr>
                <w:i w:val="1"/>
                <w:rtl w:val="0"/>
              </w:rPr>
              <w:t xml:space="preserve">de minimis</w:t>
            </w:r>
            <w:r w:rsidR="00000000" w:rsidRPr="00000000" w:rsidDel="00000000">
              <w:rPr>
                <w:rtl w:val="0"/>
              </w:rPr>
              <w:t xml:space="preserve"> atbalstu, ja atbalstu piešķir saskaņā ar regulu Nr. 1407/2013 ņem vērā regulas Nr. 1407/2013 4. panta 6. punkta “b" apakšpunktā noteikto garantijas apmēru, ja atbalstu piešķir saskaņā ar regulu Nr. 1408/2013 ņem vērā regulas Nr. 1408/2013 4. panta 6. punkta "b" apakšpunktā noteikto garantijas apmēru vai ja atbalstu piešķir saskaņā ar regulu Nr. 717/20143 ņem vērā  regulas Nr. 717/2014  4. panta 6. punkta "b" apakšpunktā noteikto garantijas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pārkāptas regulas 2022/2472, regulas Nr. 1407/2013, regulas Nr. 1408/2013 vai regulas Nr. 717/2014 prasības, atbalsta saņēmējam ir pienākums atmaksāt sabiedrībai </w:t>
            </w:r>
            <w:r w:rsidR="00000000" w:rsidRPr="00000000" w:rsidDel="00000000">
              <w:rPr>
                <w:i w:val="1"/>
                <w:rtl w:val="0"/>
              </w:rPr>
              <w:t xml:space="preserve">Altum</w:t>
            </w:r>
            <w:r w:rsidR="00000000" w:rsidRPr="00000000" w:rsidDel="00000000">
              <w:rPr>
                <w:rtl w:val="0"/>
              </w:rPr>
              <w:t xml:space="preserve"> visu atbalsta pasākumā saņemto valsts atbalstu. Atbalstu atmaksā kopā ar procentiem no līdzekļiem, kas ir brīvi no valsts atbalsta, saskaņā ar Komercdarbības atbalsta kontroles likuma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noteikumu projekta 32.</w:t>
            </w:r>
            <w:r w:rsidR="00000000" w:rsidRPr="00000000" w:rsidDel="00000000">
              <w:rPr>
                <w:vertAlign w:val="superscript"/>
                <w:rtl w:val="0"/>
              </w:rPr>
              <w:t xml:space="preserve">1</w:t>
            </w:r>
            <w:r w:rsidR="00000000" w:rsidRPr="00000000" w:rsidDel="00000000">
              <w:rPr>
                <w:rtl w:val="0"/>
              </w:rPr>
              <w:t xml:space="preserve"> punktu sadalīt divos atsevišķos punktus, nodalot atbalsta atgūšanu regulas 2022/2472 piemērošanas gadījumā un de minimis atbalsta gadījumā (ar Komisijas regulu Nr.1407/2013),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1407/2013 nosacījumi, atbalsta saņēmējam ir pienākums atmaksāt sabiedrībai ALTUM visu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regulas 2022/2472, garantijas saņēmējam ir pienākumus atmaksāt sabiedrībai </w:t>
            </w:r>
            <w:r w:rsidR="00000000" w:rsidRPr="00000000" w:rsidDel="00000000">
              <w:rPr>
                <w:i w:val="1"/>
                <w:rtl w:val="0"/>
              </w:rPr>
              <w:t xml:space="preserve">Altum</w:t>
            </w:r>
            <w:r w:rsidR="00000000" w:rsidRPr="00000000" w:rsidDel="00000000">
              <w:rPr>
                <w:rtl w:val="0"/>
              </w:rPr>
              <w:t xml:space="preserve"> saņemto nelikumīgo komercdarbības atbalstu, savukārt, ja pārkāptas regulas Nr. 1407/2013, regulas Nr. 1408/2013 vai regulas Nr. 717/2014 prasības, garantijas saņēmējam ir pienākums atmaksāt sabiedrībai</w:t>
            </w:r>
            <w:r w:rsidR="00000000" w:rsidRPr="00000000" w:rsidDel="00000000">
              <w:rPr>
                <w:i w:val="1"/>
                <w:rtl w:val="0"/>
              </w:rPr>
              <w:t xml:space="preserve"> Altum</w:t>
            </w:r>
            <w:r w:rsidR="00000000" w:rsidRPr="00000000" w:rsidDel="00000000">
              <w:rPr>
                <w:rtl w:val="0"/>
              </w:rPr>
              <w:t xml:space="preserve"> visu atbalsta pasākuma ietvaros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ir brīvi no komercdarbības atbalsta, saskaņā ar  Komercdarbības atbalsta kontroles likuma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nepastāv valsts atbalsta risks noteikumu projekta 6.</w:t>
            </w:r>
            <w:r w:rsidR="00000000" w:rsidRPr="00000000" w:rsidDel="00000000">
              <w:rPr>
                <w:vertAlign w:val="superscript"/>
                <w:rtl w:val="0"/>
              </w:rPr>
              <w:t xml:space="preserve">1</w:t>
            </w:r>
            <w:r w:rsidR="00000000" w:rsidRPr="00000000" w:rsidDel="00000000">
              <w:rPr>
                <w:rtl w:val="0"/>
              </w:rPr>
              <w:t xml:space="preserve">2 punktā minētajā gadījumā - </w:t>
            </w:r>
            <w:r w:rsidR="00000000" w:rsidRPr="00000000" w:rsidDel="00000000">
              <w:rPr>
                <w:i w:val="1"/>
                <w:rtl w:val="0"/>
              </w:rPr>
              <w:t xml:space="preserve">banku garantijai (konkursa, avansa maksājuma, maksājuma izpildes vai laika garantijai), banku garantiju limitam, kredītvēstulei un galvojumam – t.i., ka viss labums tiks nodots gala labuma guvēja līmenī</w:t>
            </w:r>
            <w:r w:rsidR="00000000" w:rsidRPr="00000000" w:rsidDel="00000000">
              <w:rPr>
                <w:rtl w:val="0"/>
              </w:rPr>
              <w:t xml:space="preserve"> (nepaliek nekāds atbalsts banku vai iepriekšējo galvotāju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punkta sadaļā “Risinājuma apraksts” ietverto tekstu: "Finansējums 9 000 000 euro tiek pārdalīts uz citiem LAP apakšpasākumiem – </w:t>
            </w:r>
            <w:r w:rsidR="00000000" w:rsidRPr="00000000" w:rsidDel="00000000">
              <w:rPr>
                <w:u w:val="single"/>
                <w:rtl w:val="0"/>
              </w:rPr>
              <w:t xml:space="preserve">"Atbalsts ieguldījumiem lauku saimniecībās", "Atbalsts ieguldījumiem pārstrādē" un "Atbalsts ieguldījumiem ar lauksaimniecību nesaistītu darbību radīšanā un attīstīšanā"</w:t>
            </w:r>
            <w:r w:rsidR="00000000" w:rsidRPr="00000000" w:rsidDel="00000000">
              <w:rPr>
                <w:rtl w:val="0"/>
              </w:rPr>
              <w:t xml:space="preserve">", ņemot vērā, ka saskaņā ar Ministru kabineta 2019. gada 8. janvāra noteikumu Nr. 9 "Lauksaimniecības, zivsaimniecības un lauku attīstības garantiju programmas noteikumi" 1. punktu MK noteikumi Nr. 9 nosaka kārtību, kādā piešķir valsts un Eiropas Savienības atbalstu garantiju veidā Latvijas Lauku attīstības programmas 2014.–2020. gadam īstenošanas pārejas periodā 2021. un 2022. gadā apakšpasākumiem </w:t>
            </w:r>
            <w:r w:rsidR="00000000" w:rsidRPr="00000000" w:rsidDel="00000000">
              <w:rPr>
                <w:u w:val="single"/>
                <w:rtl w:val="0"/>
              </w:rPr>
              <w:t xml:space="preserve">"Atbalsts ieguldījumiem lauku saimniecībās", "Atbalsts ieguldījumiem pārstrādē" un "Atbalsts ieguldījumiem ar lauksaimniecību nesaistītu darbību radīšanā un attīstīšanā".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 informāciju par 7 000 000 </w:t>
            </w:r>
            <w:r w:rsidR="00000000" w:rsidRPr="00000000" w:rsidDel="00000000">
              <w:rPr>
                <w:i w:val="1"/>
                <w:rtl w:val="0"/>
              </w:rPr>
              <w:t xml:space="preserve">euro </w:t>
            </w:r>
            <w:r w:rsidR="00000000" w:rsidRPr="00000000" w:rsidDel="00000000">
              <w:rPr>
                <w:rtl w:val="0"/>
              </w:rPr>
              <w:t xml:space="preserve">precizēt atbilstoši TA lietas Nr. 23-TA-2639 anotācijā sniegtajai informācijai, proti, ka 5 787 948 </w:t>
            </w:r>
            <w:r w:rsidR="00000000" w:rsidRPr="00000000" w:rsidDel="00000000">
              <w:rPr>
                <w:i w:val="1"/>
                <w:rtl w:val="0"/>
              </w:rPr>
              <w:t xml:space="preserve">euro</w:t>
            </w:r>
            <w:r w:rsidR="00000000" w:rsidRPr="00000000" w:rsidDel="00000000">
              <w:rPr>
                <w:rtl w:val="0"/>
              </w:rPr>
              <w:t xml:space="preserve"> plānots novirzīt valsts atbalsta programmai par aizdevumu piešķiršanu apgrozāmo līdzekļu iegādei lauksaimniecības, mežsaimniecības, zvejniecības un akvakultūras nozarē, savukārt atlikušo finansējumu 1 212 052 </w:t>
            </w:r>
            <w:r w:rsidR="00000000" w:rsidRPr="00000000" w:rsidDel="00000000">
              <w:rPr>
                <w:i w:val="1"/>
                <w:rtl w:val="0"/>
              </w:rPr>
              <w:t xml:space="preserve">euro </w:t>
            </w:r>
            <w:r w:rsidR="00000000" w:rsidRPr="00000000" w:rsidDel="00000000">
              <w:rPr>
                <w:rtl w:val="0"/>
              </w:rPr>
              <w:t xml:space="preserve">Zemkopības ministrija pieprasīs sabiedrībai “Altum” atmaksāt atpakaļ.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Līdzvērtīgus precizējumus aicinām veikt arī anotācijas 1.1.sadaļā.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6.1. un 6.2. apakšpunktā norādīto informācija pārcelt uz 6.punktu, attiecīgi 6.1. un 6.2.apakšpunktos norādot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apakšsadaļā “Cita informācija” norādīto informāciju, ka “LAP apakšpasākumu "Atbalsts ieguldījumiem lauku saimniecībās", "Atbalsts ieguldījumiem pārstrādē" un "Atbalsts ieguldījumiem ar lauksaimniecību nesaistītu darbību radīšanā un attīstīšanā" īstenošanai pārejas periodā 2021. un 2022. gadā piešķirtais finansējums samazināts no 10 000 000 līdz 1 000 000 euro, 9 000 000 euro novirzot citiem LAP apakšpasākumiem – "Atbalsts ieguldījumiem lauku saimniecībās", "Atbalsts ieguldījumiem pārstrādē" un "Atbalsts ieguldījumiem ar lauksaimniecību nesaistītu darbību radīšanā un attīstīšanā". No redakcijas nav saprotams, kuriem citiem LAP apakšpasākumiem finansējums tiek novirzīts, jo norādīti tie paši pasākumi, kuriem finansējums tiek samazināts.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uz citiem LAP apakšpasākumiem, lūdzam papildināt anotācijas 4. sadaļu, norādot tiesību aktus, kas tiks grozīti, lai nodrošinātu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noteikumu 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papildinot to ar skaidrojumu par Komisijas 2023. gada 4. oktobra Regulas (ES) 2023/2391, ar ko attiecībā uz de minimis atbalstu zvejas un akvakultūras produktu apstrādei un tirdzniecībai groza Regulas (ES) Nr. 717/2014, (ES) Nr. 1407/2013, (ES) Nr. 1408/2013 un (ES) Nr. 360/2012 un attiecībā uz vienam vienotam uzņēmumam piešķirtā de minimis atbalsta kopējo summu, tā piemērošanas periodu un citiem jautājumiem groza Regulu (ES) Nr. 717/2014, 1. panta 6. 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Komisijas 2014. gada 27. jūnija Regulas (EK) Nr. 717/2014 par Līguma par Eiropas Savienības darbību 107. un 108. panta piemērošanu de minimis atbalstam zvejniecības un akvakultūras nozarē, 3. panta 2.a punktā un 6. panta 1. punktā (arī Komisijas regulas Nr. 1408/2013, gan primāro zvejniecības un akvakultūras produktu ražošanā saskaņā ar Komisijas regulu Nr. 717/2014, tas nodala nozaru darbības vai izmaksas, kā attiecīgi noteikts Komisijas regulas Nr. 1407/2013 6. panta 1. punktā) ietverta dalībvalsts rīcības brīvība,- papildinot aili (sniedzot pamatojumu) par dalībvalsts rīcības brīvības izmantošanu, norādot konkrētās regulas normas, kas paredz rīcības brīvību, kādā veidā minētā rīcības brīvība ir izmantota noteikumu projektā, un to, kādēļ ir vai nav izmantota regulā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novēršot tehniskas kļūdas, piemēram, informācijas dublēšanos par Komisijas 2023. gada 4. oktobra Regulas (ES) 2023/2391, ar ko attiecībā uz de minimis atbalstu zvejas un akvakultūras produktu apstrādei un tirdzniecībai groza Regulas (ES) Nr. 717/2014, (ES) Nr. 1407/2013, (ES) Nr. 1408/2013 un (ES) Nr. 360/2012 un attiecībā uz vienam vienotam uzņēmumam piešķirtā de minimis atbalsta kopējo summu, tā piemērošanas periodu un citiem jautājumiem groza Regulu (ES) Nr. 717/2014, 2. panta 1. punkta "a" apakšpunkta ieviešanu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programmas rādītāju novērtējuma projekta 5. sadaļā norādītajam vadības izdevumu kompensācijas apmēram attiecībā pret kopējo programmas finansējumu, ņemot vērā, ka vadības izdevumu kompensācijas apmērs sastāda 19% no programmai paredzētā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projekta 5. sadaļu, norādot, ko ietver administratīvie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programmas rādītāju novērtējuma projekta 3. sadaļā aprēķinātās kredītriska un citu risku zaudējumu summas un pēc nepieciešamības veikt precizējumus. Vienlaikus lūdzam norādīt izsniegto riska darījumu kopējā apjoma summu, no kādas aprēķinātas kredītriska un citu risku zaudējumu 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lauku teritorija – visa Latvijas teritorija, izņemot valstspilsētas;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 punktā neskaidrot terminu, kurš Ministru kabineta 2019. gada 8. janvāra noteikumu Nr. 9 "Lauksaimniecības, zivsaimniecības un lauku attīstības garantiju programmas noteikumi" (turpmāk - noteikumi Nr. 9) pamattekstā tiek lietots tikai vienu reizi. Nepieciešamības gadījumā lūdzam attiecīgo termina skaidrojumu iekļaut noteikumu Nr. 9  pamattekstā - vietā, kurā attiecīgais termins 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Latvijas Lauku attīstības programmas 2014.–2020. gadam īstenošanas pārejas periodā 2021. un 2022. gadā paredzētais finansējums 1 000 000 </w:t>
            </w:r>
            <w:r w:rsidR="00000000" w:rsidRPr="00000000" w:rsidDel="00000000">
              <w:rPr>
                <w:i w:val="1"/>
                <w:rtl w:val="0"/>
              </w:rPr>
              <w:t xml:space="preserve">euro</w:t>
            </w:r>
            <w:r w:rsidR="00000000" w:rsidRPr="00000000" w:rsidDel="00000000">
              <w:rPr>
                <w:rtl w:val="0"/>
              </w:rPr>
              <w:t xml:space="preserve"> apmērā apakšpasākumiem "Atbalsts ieguldījumiem lauku saimniecībās" un "Atbalsts ieguldījumiem pārstrādē".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samazināts pieejamais finansējums, lūdzam noteikumu projekta anotāciju papildināt ar pamatotu skaidrojumu par noteikumu projektā ietvertā attiecīgā regulējuma saderību ar tiesiskās paļāvības principu, tai skaitā, kā konkrētais regulējums ietekmēs saimnieciskās darbības veicējus, kuri jau pieteikušies atbalstam, kā arī saimnieciskās darbības veicēju, kam atbalsts ticis piešķirts, jau iegūtās tiesības.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Latvijas Lauku attīstības programmas 2014.–2020. gadam īstenošanas pārejas periodā 2021. un 2022. gadā paredzētais finansējums 1 000 000 </w:t>
            </w:r>
            <w:r w:rsidR="00000000" w:rsidRPr="00000000" w:rsidDel="00000000">
              <w:rPr>
                <w:i w:val="1"/>
                <w:rtl w:val="0"/>
              </w:rPr>
              <w:t xml:space="preserve">euro</w:t>
            </w:r>
            <w:r w:rsidR="00000000" w:rsidRPr="00000000" w:rsidDel="00000000">
              <w:rPr>
                <w:rtl w:val="0"/>
              </w:rPr>
              <w:t xml:space="preserve"> apmērā apakšpasākumiem "Atbalsts ieguldījumiem lauku saimniecībās" un "Atbalsts ieguldījumiem pārstrādē".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aizdevumam apgrozāmo līdzekļu finansēšanai, tostarp kredītlimita un overdrafta veidā, faktoringam, kurā klients (saimnieciskās darbības veicējs) saskaņā ar noslēgto faktoringa līgumu atbild faktoram (kredītiestādei vai tās meitas sabiedrībai) par nodotā vai nododamā prasījuma drošību, kā arī banku garantijai (konkursa, avansa maksājuma, maksājuma izpildes vai laika garantijai), banku garantiju limitam, kredītvēstulei un galvinieka sniegtam galvojumam.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punktā nedublēt Komerclikumā u.c. normatīvajos aktos ietverto regulējumu par faktoringa līguma sastāvdaļām, atbilstoši precizējot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aizdevumam apgrozāmo līdzekļu finansēšanai, tostarp kredītlimita un overdrafta veidā, faktoringam, kā arī banku garantijai - konkursa, avansa maksājuma, maksājuma izpildes vai laika garantijai, banku garantiju limitam, kredītvēstulei un galvojumam.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w:t>
            </w:r>
            <w:r w:rsidR="00000000" w:rsidRPr="00000000" w:rsidDel="00000000">
              <w:rPr>
                <w:i w:val="1"/>
                <w:rtl w:val="0"/>
              </w:rPr>
              <w:t xml:space="preserve">Altum</w:t>
            </w:r>
            <w:r w:rsidR="00000000" w:rsidRPr="00000000" w:rsidDel="00000000">
              <w:rPr>
                <w:rtl w:val="0"/>
              </w:rPr>
              <w:t xml:space="preserve"> garantijas 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 punktu, nodrošinot pārskatāmu tiesību normu izklāstu, izdalot atsevišķi (nepieciešamības gadījumā - atsevišķos punktos) regulējumu par finansējuma avotiem un citiem nosacījumiem (proti, regulās noteiktajiem finansēšanas nosacījumiem), kā arī nodrošinot, ka ir nepārprotami skaidrs, kuros gadījumos izmantojams kāds noteikumu Nr. 9 4. punktā (4. punkta tālāko apakšpunktu līmenī) minētais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w:t>
            </w:r>
            <w:r w:rsidR="00000000" w:rsidRPr="00000000" w:rsidDel="00000000">
              <w:rPr>
                <w:i w:val="1"/>
                <w:rtl w:val="0"/>
              </w:rPr>
              <w:t xml:space="preserve">Altum</w:t>
            </w:r>
            <w:r w:rsidR="00000000" w:rsidRPr="00000000" w:rsidDel="00000000">
              <w:rPr>
                <w:rtl w:val="0"/>
              </w:rPr>
              <w:t xml:space="preserve"> garantijas 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7.5.5. galvinieka sniegtam galvojumam saimnieciskās darbības veicējiem, biedrībām vai nodibinājumiem, kas Lauku atbalsta dienestā pieteikušies atbalstam Kopējās lauksaimniecības politikas īstenošanas pasākumos vai saņēmuši avansa maksājumu atbilstoši Komisijas 2016. gada 18. maija Deleģētajai regulai (ES) 2016/1238, ar ko Eiropas Parlamenta un Padomes Regulu (ES) Nr. 1308/2013 papildina attiecībā uz valsts intervenci un privātās uzglabāšanas atbalstu (Eiropas Savienības Oficiālais Vēstnesis, 2016. gada 30. jūlijs, Nr. L 206), ievērojot regulas Nr.  1407/2013 vai regulas Nr.1408/2013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tiek saprasts ar noteikumu 6.</w:t>
            </w:r>
            <w:r w:rsidR="00000000" w:rsidRPr="00000000" w:rsidDel="00000000">
              <w:rPr>
                <w:vertAlign w:val="superscript"/>
                <w:rtl w:val="0"/>
              </w:rPr>
              <w:t xml:space="preserve">1</w:t>
            </w:r>
            <w:r w:rsidR="00000000" w:rsidRPr="00000000" w:rsidDel="00000000">
              <w:rPr>
                <w:rtl w:val="0"/>
              </w:rPr>
              <w:t xml:space="preserve">2.apakšpunktā  un 7.5.5.apakšpunktā minēto terminu "galvinieka sniegts galvojums", lūdzam sniegt skaidrojumu anotācijā, kas šis būs par subjektu, kas sniegs galvojumu, kurš būs gala labuma guvējs un kā attiecībā uz šo galvinieku tiks izslēgts komercdarbības atbalsta sniegšanas risks, jo, kā saprotams no MK noteikumiem projekta, sabiedrība ALTUM uzņemsies saistības garantēt jau izsniegto galvojumu, tādējādi kādu citu finanšu institūciju atbrīvojot no riska. Vēršam uzmanību, ka valstij uzņemoties saistības segt uzņēmējdarbības rezultātā radušos riskus, konkrētajam subjektam tiek sniegts atbalsts un attiecībā uz to ir jāpiemēro komercdarbības atbalsta kontroles regulējums.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7.5.5. galvojumam saimnieciskās darbības veicējiem, biedrībām vai nodibinājumiem, kas Lauku atbalsta dienestā pieteikušies atbalstam Kopējās lauksaimniecības politikas īstenošanas pasākumos vai saņēmuši avansa maksājumu atbilstoši Komisijas 2016. gada 18. maija Deleģētajai regulai (ES) 2016/1238, ar ko Eiropas Parlamenta un Padomes Regulu (ES) Nr. 1308/2013 papildina attiecībā uz valsts intervenci un privātās uzglabāšanas atbalstu (Eiropas Savienības Oficiālais Vēstnesis, 2016. gada 30. jūlijs, Nr. L 206), ievērojot regulas Nr.  1407/2013 vai regulas Nr.1408/2013 nosacījumus, izmantojot šo noteikumu 4.1. apakšpunktā minēto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Garantiju piešķir, ja saimnieciskā darbība ir ekonomiski dzīvotspējīga, izvērtējot arī saimnieciskās darbības veicēja biznesa idejas potenciālu, ilgtspēju, projekta īstenošanai nepieciešamo līdzfinansējumu, nodrošinājumu struktūru un likviditāti, saimnieciskās darbības veicēja esošo un turpmāko finanšu situāciju, zināšanu un pieredzes atbilstību, kā arī analizējot identificētos uzņēmējdarbības riska faktorus un citus faktorus saimnieciskās darbības veicēja aizdevuma kvalitātes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12. punktā vai tā anotācijā skaidrot, kādus vēl citus faktorus saimnieciskās darbības veicēja aizdevuma kvalitātes noteikšanai vēl var vērtēt, nepieciešamības gadījumā minot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Garantiju piešķir, ja saimnieciskā darbība ir ekonomiski dzīvotspējīga, izvērtējot arī saimnieciskās darbības veicēja biznesa idejas potenciālu, ilgtspēju, projekta īstenošanai nepieciešamo līdzfinansējumu, nodrošinājumu struktūru un likviditāti, saimnieciskās darbības veicēja esošo un turpmāko finanšu situāciju, zināšanu un pieredzes atbilstību, kā arī analizējot identificētos uzņēmējdarbības riska faktorus un citus faktorus saimnieciskās darbības veicēja aizdevuma kvalitātes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Atbalstāmie saimnieciskās veicēji un garantijas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18. punktu "Atbalstāmie </w:t>
            </w:r>
            <w:r w:rsidR="00000000" w:rsidRPr="00000000" w:rsidDel="00000000">
              <w:rPr>
                <w:u w:val="single"/>
                <w:rtl w:val="0"/>
              </w:rPr>
              <w:t xml:space="preserve">saimnieciskās veicēji</w:t>
            </w:r>
            <w:r w:rsidR="00000000" w:rsidRPr="00000000" w:rsidDel="00000000">
              <w:rPr>
                <w:rtl w:val="0"/>
              </w:rPr>
              <w:t xml:space="preserve"> un garantijas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Atbalstāmie saimnieciskās darbības veicēji un garantijas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Atbalstāmie saimnieciskās darbības veicēji un garantijas apmērs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Garantijas sākotnējais termiņš nepārsniedz 10 gadus, bet, ja tiek pagarināts sabiedrības </w:t>
            </w:r>
            <w:r w:rsidR="00000000" w:rsidRPr="00000000" w:rsidDel="00000000">
              <w:rPr>
                <w:i w:val="1"/>
                <w:rtl w:val="0"/>
              </w:rPr>
              <w:t xml:space="preserve">Altum</w:t>
            </w:r>
            <w:r w:rsidR="00000000" w:rsidRPr="00000000" w:rsidDel="00000000">
              <w:rPr>
                <w:rtl w:val="0"/>
              </w:rPr>
              <w:t xml:space="preserve"> iepriekš izsniegtas garantijas termiņš, garantijas kopējais termiņš nepārsniedz 15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izsniedzot garantiju saskaņā ar Komisijas regulu Nr.1407/2013, tiek ievēroti šobrīd spēkā esošo MK noteikumu Nr.9 21.1.punktā minētie ierobežojumi. Vienlaikus lūdzam papildināt normu ar nosacījumu, ka Altum komercdarbības atbalstam noteikto prasību īstenošanu vērtē dienā, kad pieņem lēmumu par garantiju piešķiršanu, pagarināšanu vai noraidīšanu (lūdzam atgriezt noteikumu tekstā šobrīd spēkā esošo 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Garantijas sākotnējais termiņš nepārsniedz 10 gadus, bet, ja tiek pagarināts sabiedrības </w:t>
            </w:r>
            <w:r w:rsidR="00000000" w:rsidRPr="00000000" w:rsidDel="00000000">
              <w:rPr>
                <w:i w:val="1"/>
                <w:rtl w:val="0"/>
              </w:rPr>
              <w:t xml:space="preserve">Altum</w:t>
            </w:r>
            <w:r w:rsidR="00000000" w:rsidRPr="00000000" w:rsidDel="00000000">
              <w:rPr>
                <w:rtl w:val="0"/>
              </w:rPr>
              <w:t xml:space="preserve"> iepriekš izsniegtas garantijas termiņš, garantijas kopējais termiņš nepārsniedz 15 gadus. Ja garantiju sniedz saskaņā ar regulu Nr.  1407/2013, regulu Nr. 1408/2013 vai regulu Nr.717/2014 tiek ievēroti šo noteikumu 21. punktā minētie ierobežojumi.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Spēkā esošo garantiju apmērs viena vienota uzņēmuma līmenī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šī brīža noteikumu 19.punkta redakcija nenodrošina skaidru šīs normas piemērošanu, ņemot vērā, ka noteikumu ietvaros ir paredzēts sniegt de minimis atbalstu gan ar regulu Nr. 1407/2013, gan regulu Nr. 1408/2013 vai regulu Nr. 717/2014. Attiecībā uz spēkā esošo garantijas apmēru saskaņā ar regulu Nr. 1407/2013, lūdzam saglabāt esošos noteikumu 19.punkta nosacījumus, t.sk., ar atsaucēm uz konkrētiem atbilstošajiem MK noteikumu punktiem, kur norādīts subsīdijas ekvivalenta aprēķins un garantijas apjoms vienam vienotam uzņēmumam un sasaisti ar konkrētu regulu. Lūdzam atbilstoši precizēt noteikumu 19.punktu.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Spēkā esošo garantiju apmērs viena vienota uzņēmuma līmenī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Papildus šo noteikumu 19. punktā noteiktajam spēkā esošo garantiju apmēram, piešķirot garantiju lielajiem saimnieciskās darbības veicējiem kā </w:t>
            </w:r>
            <w:r w:rsidR="00000000" w:rsidRPr="00000000" w:rsidDel="00000000">
              <w:rPr>
                <w:i w:val="1"/>
                <w:rtl w:val="0"/>
              </w:rPr>
              <w:t xml:space="preserve">de minimis</w:t>
            </w:r>
            <w:r w:rsidR="00000000" w:rsidRPr="00000000" w:rsidDel="00000000">
              <w:rPr>
                <w:rtl w:val="0"/>
              </w:rPr>
              <w:t xml:space="preserve"> atbalstu, ņem vērā regulas Nr. 1407/2013 4. panta 6. punkta “b" apakšpunktā, regulas Nr. 1408/2013 4. panta 6. punkta "b" apakšpunktā vai regulas Nr. 717/2014  4. panta 6. punkta "b" apakšpunktā noteikto garantijas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19.</w:t>
            </w:r>
            <w:r w:rsidR="00000000" w:rsidRPr="00000000" w:rsidDel="00000000">
              <w:rPr>
                <w:vertAlign w:val="superscript"/>
                <w:rtl w:val="0"/>
              </w:rPr>
              <w:t xml:space="preserve">1</w:t>
            </w:r>
            <w:r w:rsidR="00000000" w:rsidRPr="00000000" w:rsidDel="00000000">
              <w:rPr>
                <w:rtl w:val="0"/>
              </w:rPr>
              <w:t xml:space="preserve">punktu tā, lai ir skaidrs, ka, piemēram, atbalstu sniedzot ar Komisijas regulu Nr.1407/2013, ir jāievēro konkrētajā de minimis regulā noteiktais garantijas apmērs, t.i., Komisijas regulas Nr.1407/2013  4. panta 6. punkta “b" apakšpunktā noteiktais, nevis normā ietvertās visās uzskaitītajās regulās minētais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Papildus šo noteikumu 19. punktā noteiktajam spēkā esošo garantiju apmēram, piešķirot garantiju lielajiem saimnieciskās darbības veicējiem kā </w:t>
            </w:r>
            <w:r w:rsidR="00000000" w:rsidRPr="00000000" w:rsidDel="00000000">
              <w:rPr>
                <w:i w:val="1"/>
                <w:rtl w:val="0"/>
              </w:rPr>
              <w:t xml:space="preserve">de minimis</w:t>
            </w:r>
            <w:r w:rsidR="00000000" w:rsidRPr="00000000" w:rsidDel="00000000">
              <w:rPr>
                <w:rtl w:val="0"/>
              </w:rPr>
              <w:t xml:space="preserve"> atbalstu, ja atbalstu piešķir saskaņā ar regulu Nr. 1407/2013 ņem vērā regulas Nr. 1407/2013 4. panta 6. punkta “b" apakšpunktā noteikto garantijas apmēru, ja atbalstu piešķir saskaņā ar regulu Nr. 1408/2013 ņem vērā regulas Nr. 1408/2013 4. panta 6. punkta "b" apakšpunktā noteikto garantijas apmēru vai ja atbalstu piešķir saskaņā ar regulu Nr. 717/20143 ņem vērā  regulas Nr. 717/2014  4. panta 6. punkta "b" apakšpunktā noteikto garantijas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kā starpību starp likmēm, kas tiek diskontēta, izmantojot atsauces likmi, kas aprēķināma saskaņā ar Eiropas Komisijas Latvijai apstiprināto atsauces likmi, kurai pieskaitīti 100 bāzes punkti, ja garantijas ilgums pārsniedz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 vienā no de minimis regulām šāda metode subsīdijas ekvivalenta aprēķināšanai nav paredzēta, lūdzam šo apakšpunktu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Pirms garantijas piešķiršanas saimnieciskās darbības veicējs finanšu institūcijā iesniedz informāciju par iepriekš saņemto </w:t>
            </w:r>
            <w:r w:rsidR="00000000" w:rsidRPr="00000000" w:rsidDel="00000000">
              <w:rPr>
                <w:i w:val="1"/>
                <w:rtl w:val="0"/>
              </w:rPr>
              <w:t xml:space="preserve">de minimis</w:t>
            </w:r>
            <w:r w:rsidR="00000000" w:rsidRPr="00000000" w:rsidDel="00000000">
              <w:rPr>
                <w:rtl w:val="0"/>
              </w:rPr>
              <w:t xml:space="preserve"> atbalstu, norādot ziņas par kārtējo un diviem iepriekšējiem fiskālajiem gadiem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33. punktā izteiktajā Ministru kabineta 2019. gada 8. janvāra noteikumu Nr. 9 "Lauksaimniecības, zivsaimniecības un lauku attīstības garantiju programmas noteikumi" 25. punktā minēto terminu “finanšu institūcija”. Lūdzam atbilstoši precizēt arī MK noteikumu Nr. 9 pamattekstu, kur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Pirms garantijas piešķiršanas saimnieciskās darbības veicējs sabiedrībā </w:t>
            </w:r>
            <w:r w:rsidR="00000000" w:rsidRPr="00000000" w:rsidDel="00000000">
              <w:rPr>
                <w:i w:val="1"/>
                <w:rtl w:val="0"/>
              </w:rPr>
              <w:t xml:space="preserve">Altum</w:t>
            </w:r>
            <w:r w:rsidR="00000000" w:rsidRPr="00000000" w:rsidDel="00000000">
              <w:rPr>
                <w:rtl w:val="0"/>
              </w:rPr>
              <w:t xml:space="preserve"> iesniedz informāciju par iepriekš saņemto </w:t>
            </w:r>
            <w:r w:rsidR="00000000" w:rsidRPr="00000000" w:rsidDel="00000000">
              <w:rPr>
                <w:i w:val="1"/>
                <w:rtl w:val="0"/>
              </w:rPr>
              <w:t xml:space="preserve">de minimis</w:t>
            </w:r>
            <w:r w:rsidR="00000000" w:rsidRPr="00000000" w:rsidDel="00000000">
              <w:rPr>
                <w:rtl w:val="0"/>
              </w:rPr>
              <w:t xml:space="preserve"> atbalstu, norādot ziņas par kārtējo un diviem iepriekšējiem fiskālajiem gadiem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drīkst kumulēt ar citu </w:t>
            </w:r>
            <w:r w:rsidR="00000000" w:rsidRPr="00000000" w:rsidDel="00000000">
              <w:rPr>
                <w:i w:val="1"/>
                <w:rtl w:val="0"/>
              </w:rPr>
              <w:t xml:space="preserve">de minimis</w:t>
            </w:r>
            <w:r w:rsidR="00000000" w:rsidRPr="00000000" w:rsidDel="00000000">
              <w:rPr>
                <w:rtl w:val="0"/>
              </w:rPr>
              <w:t xml:space="preserve"> atbalstu līdz regulas Nr. 1407/2013 3. panta 2.a punktā, regulas Nr. 1408/2013 3. panta 3.a punktā un regulas Nr.  717/2014 3. panta 2.a punktā noteiktajam robežlielumam, ja netiek pārsniegta šajās regulās noteiktā maksimālā atbalsta summa vai maksimālā atbalsta intensitāte attiecīgajai izmaksu pozīcijai nepārsniedz 100 procentu;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precizēt, ņemot vērā, ka Komisijas  regulas Nr.1407/2013 3. panta 2. punktā nav a)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drīkst kumulēt ar citu </w:t>
            </w:r>
            <w:r w:rsidR="00000000" w:rsidRPr="00000000" w:rsidDel="00000000">
              <w:rPr>
                <w:i w:val="1"/>
                <w:rtl w:val="0"/>
              </w:rPr>
              <w:t xml:space="preserve">de minimis</w:t>
            </w:r>
            <w:r w:rsidR="00000000" w:rsidRPr="00000000" w:rsidDel="00000000">
              <w:rPr>
                <w:rtl w:val="0"/>
              </w:rPr>
              <w:t xml:space="preserve"> atbalstu līdz regulas Nr. 1407/2013 3. panta 2. punktā, regulas Nr. 1408/2013 3. panta 3.a punktā un regulas Nr.  717/2014 3. panta 2.a punktā noteiktajam robežlielumam, ja netiek pārsniegta šajās regulās noteiktā maksimālā atbalsta summa vai maksimālā atbalsta intensitāte attiecīgajai izmaksu pozīcijai nepārsniedz 100 procentu;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Garantiju atbalstu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minētajiem pasākumiem drīkst kumulēt ar citu atbalstu par vienām un tām pašām izmaksām atbilstoši regulas 2022/2472 8. panta 1., 3., un 5. punktā noteiktajam, kā arī ievērojot šo noteikumu 22.</w:t>
            </w:r>
            <w:r w:rsidR="00000000" w:rsidRPr="00000000" w:rsidDel="00000000">
              <w:rPr>
                <w:vertAlign w:val="superscript"/>
                <w:rtl w:val="0"/>
              </w:rPr>
              <w:t xml:space="preserve">1</w:t>
            </w:r>
            <w:r w:rsidR="00000000" w:rsidRPr="00000000" w:rsidDel="00000000">
              <w:rPr>
                <w:rtl w:val="0"/>
              </w:rPr>
              <w:t xml:space="preserve">1. un 22.</w:t>
            </w:r>
            <w:r w:rsidR="00000000" w:rsidRPr="00000000" w:rsidDel="00000000">
              <w:rPr>
                <w:vertAlign w:val="superscript"/>
                <w:rtl w:val="0"/>
              </w:rPr>
              <w:t xml:space="preserve">1</w:t>
            </w:r>
            <w:r w:rsidR="00000000" w:rsidRPr="00000000" w:rsidDel="00000000">
              <w:rPr>
                <w:rtl w:val="0"/>
              </w:rPr>
              <w:t xml:space="preserve">2. apakšpunktā noteikto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9, arī noteikumu projekta redakcijā, nav 22.</w:t>
            </w:r>
            <w:r w:rsidR="00000000" w:rsidRPr="00000000" w:rsidDel="00000000">
              <w:rPr>
                <w:vertAlign w:val="superscript"/>
                <w:rtl w:val="0"/>
              </w:rPr>
              <w:t xml:space="preserve">1</w:t>
            </w:r>
            <w:r w:rsidR="00000000" w:rsidRPr="00000000" w:rsidDel="00000000">
              <w:rPr>
                <w:rtl w:val="0"/>
              </w:rPr>
              <w:t xml:space="preserve">1. un 22.</w:t>
            </w:r>
            <w:r w:rsidR="00000000" w:rsidRPr="00000000" w:rsidDel="00000000">
              <w:rPr>
                <w:vertAlign w:val="superscript"/>
                <w:rtl w:val="0"/>
              </w:rPr>
              <w:t xml:space="preserve">1</w:t>
            </w:r>
            <w:r w:rsidR="00000000" w:rsidRPr="00000000" w:rsidDel="00000000">
              <w:rPr>
                <w:rtl w:val="0"/>
              </w:rPr>
              <w:t xml:space="preserve">2. apakšpunkta, lūdzam precizēt noteikumu projekta 35. punktā ietvertās atsauces,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Garantiju atbalstu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minētajiem pasākumiem drīkst kumulēt ar citu atbalstu par vienām un tām pašām izmaksām atbilstoši regulas 2022/2472 8. panta 1., 3., un 5. punktā noteiktajam, kā arī ievērojot šo noteikumu 21.</w:t>
            </w:r>
            <w:r w:rsidR="00000000" w:rsidRPr="00000000" w:rsidDel="00000000">
              <w:rPr>
                <w:vertAlign w:val="superscript"/>
                <w:rtl w:val="0"/>
              </w:rPr>
              <w:t xml:space="preserve">1</w:t>
            </w:r>
            <w:r w:rsidR="00000000" w:rsidRPr="00000000" w:rsidDel="00000000">
              <w:rPr>
                <w:rtl w:val="0"/>
              </w:rPr>
              <w:t xml:space="preserve">1. un 21.</w:t>
            </w:r>
            <w:r w:rsidR="00000000" w:rsidRPr="00000000" w:rsidDel="00000000">
              <w:rPr>
                <w:vertAlign w:val="superscript"/>
                <w:rtl w:val="0"/>
              </w:rPr>
              <w:t xml:space="preserve">1</w:t>
            </w:r>
            <w:r w:rsidR="00000000" w:rsidRPr="00000000" w:rsidDel="00000000">
              <w:rPr>
                <w:rtl w:val="0"/>
              </w:rPr>
              <w:t xml:space="preserve">2. apakšpunktā noteikto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Finanšu institūcija reizi ceturksnī savā tīmekļvietnē ievieto informāciju par kredīta vai galvojuma saņēmēju, kredīta vai galvojuma izlietojuma mērķi, garantijas summu un garantijas izsniegšanas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Nr. 9 30. punktu, precizējot tajā lietoto vārdkopu “finanšu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Finanšu institūcija reizi ceturksnī savā tīmekļvietnē ievieto informāciju par kredīta vai galvojuma saņēmēju, kredīta vai galvojuma izlietojuma mērķi, garantijas summu un garantijas izsniegšanas datumu.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regulas 2022/2472, garantijas saņēmējam ir pienākumus atmaksāt sabiedrībai </w:t>
            </w:r>
            <w:r w:rsidR="00000000" w:rsidRPr="00000000" w:rsidDel="00000000">
              <w:rPr>
                <w:i w:val="1"/>
                <w:rtl w:val="0"/>
              </w:rPr>
              <w:t xml:space="preserve">Altum</w:t>
            </w:r>
            <w:r w:rsidR="00000000" w:rsidRPr="00000000" w:rsidDel="00000000">
              <w:rPr>
                <w:rtl w:val="0"/>
              </w:rPr>
              <w:t xml:space="preserve"> saņemto nelikumīgo komercdarbības atbalstu, savukārt, ja pārkāptas regulas Nr. 1407/2013, regulas Nr. 1408/2013 vai regulas Nr. 717/2014 prasības, atbalsta saņēmējam ir pienākums atmaksāt sabiedrībai</w:t>
            </w:r>
            <w:r w:rsidR="00000000" w:rsidRPr="00000000" w:rsidDel="00000000">
              <w:rPr>
                <w:i w:val="1"/>
                <w:rtl w:val="0"/>
              </w:rPr>
              <w:t xml:space="preserve"> Altum</w:t>
            </w:r>
            <w:r w:rsidR="00000000" w:rsidRPr="00000000" w:rsidDel="00000000">
              <w:rPr>
                <w:rtl w:val="0"/>
              </w:rPr>
              <w:t xml:space="preserve"> visu atbalsta pasākuma ietvaros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attiecībā uz tajā lietotajiem terminiem "garantijas saņēmējs" un "atbalsta saņēmējs", "atbalsta pretendents" un "saimnieciskās darbības veicējs", kā arī "finanšu pakalpojumu līgums" un "civiltiesiskais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regulas 2022/2472, garantijas saņēmējam ir pienākumus atmaksāt sabiedrībai </w:t>
            </w:r>
            <w:r w:rsidR="00000000" w:rsidRPr="00000000" w:rsidDel="00000000">
              <w:rPr>
                <w:i w:val="1"/>
                <w:rtl w:val="0"/>
              </w:rPr>
              <w:t xml:space="preserve">Altum</w:t>
            </w:r>
            <w:r w:rsidR="00000000" w:rsidRPr="00000000" w:rsidDel="00000000">
              <w:rPr>
                <w:rtl w:val="0"/>
              </w:rPr>
              <w:t xml:space="preserve"> saņemto nelikumīgo komercdarbības atbalstu, savukārt, ja pārkāptas regulas Nr. 1407/2013, regulas Nr. 1408/2013 vai regulas Nr. 717/2014 prasības, garantijas saņēmējam ir pienākums atmaksāt sabiedrībai</w:t>
            </w:r>
            <w:r w:rsidR="00000000" w:rsidRPr="00000000" w:rsidDel="00000000">
              <w:rPr>
                <w:i w:val="1"/>
                <w:rtl w:val="0"/>
              </w:rPr>
              <w:t xml:space="preserve"> Altum</w:t>
            </w:r>
            <w:r w:rsidR="00000000" w:rsidRPr="00000000" w:rsidDel="00000000">
              <w:rPr>
                <w:rtl w:val="0"/>
              </w:rPr>
              <w:t xml:space="preserve"> visu atbalsta pasākuma ietvaros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ir brīvi no komercdarbības atbalsta, saskaņā ar  Komercdarbības atbalsta kontroles likuma IV vai V nodaļu.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23-TA-1978</w:t>
    </w:r>
    <w:r>
      <w:br/>
    </w:r>
    <w:r w:rsidR="00000000" w:rsidRPr="00000000" w:rsidDel="00000000">
      <w:rPr>
        <w:rtl w:val="0"/>
      </w:rPr>
      <w:t xml:space="preserve">02.11.2023. 15.16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23-TA-1978</w:t>
    </w:r>
    <w:r>
      <w:br/>
    </w:r>
    <w:r w:rsidR="00000000" w:rsidRPr="00000000" w:rsidDel="00000000">
      <w:rPr>
        <w:rtl w:val="0"/>
      </w:rPr>
      <w:t xml:space="preserve">02.11.2023. 15.16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Izziņa_23-TA-1978.docx</dc:title>
</cp:coreProperties>
</file>

<file path=docProps/custom.xml><?xml version="1.0" encoding="utf-8"?>
<Properties xmlns="http://schemas.openxmlformats.org/officeDocument/2006/custom-properties" xmlns:vt="http://schemas.openxmlformats.org/officeDocument/2006/docPropsVTypes"/>
</file>