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4ADA" w:rsidRPr="007869BB" w:rsidRDefault="00E24ADA" w:rsidP="00E24ADA">
      <w:pPr>
        <w:rPr>
          <w:szCs w:val="24"/>
          <w:lang w:val="lv-LV"/>
        </w:rPr>
      </w:pPr>
      <w:bookmarkStart w:id="0" w:name="_GoBack"/>
      <w:bookmarkEnd w:id="0"/>
    </w:p>
    <w:tbl>
      <w:tblPr>
        <w:tblW w:w="680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"/>
        <w:gridCol w:w="2949"/>
        <w:gridCol w:w="566"/>
        <w:gridCol w:w="2836"/>
      </w:tblGrid>
      <w:tr w:rsidR="00FC0B31" w:rsidTr="004E2C79">
        <w:trPr>
          <w:cantSplit/>
          <w:trHeight w:hRule="exact" w:val="397"/>
        </w:trPr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81451" w:rsidRPr="007869BB" w:rsidRDefault="005421BB" w:rsidP="004E2C79">
            <w:pPr>
              <w:pStyle w:val="NoSpacing"/>
              <w:rPr>
                <w:lang w:val="lv-LV"/>
              </w:rPr>
            </w:pPr>
            <w:r>
              <w:rPr>
                <w:noProof/>
              </w:rPr>
              <w:t>Datums skatāms laika zīmogā</w:t>
            </w:r>
          </w:p>
        </w:tc>
        <w:tc>
          <w:tcPr>
            <w:tcW w:w="566" w:type="dxa"/>
            <w:hideMark/>
          </w:tcPr>
          <w:p w:rsidR="00781451" w:rsidRPr="007869BB" w:rsidRDefault="005421BB" w:rsidP="004E2C79">
            <w:pPr>
              <w:pStyle w:val="NoSpacing"/>
              <w:rPr>
                <w:lang w:val="lv-LV"/>
              </w:rPr>
            </w:pPr>
            <w:r w:rsidRPr="007869BB">
              <w:rPr>
                <w:lang w:val="lv-LV"/>
              </w:rPr>
              <w:t xml:space="preserve"> Nr.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81451" w:rsidRPr="007869BB" w:rsidRDefault="005421BB" w:rsidP="004E2C79">
            <w:pPr>
              <w:pStyle w:val="NoSpacing"/>
              <w:rPr>
                <w:lang w:val="lv-LV"/>
              </w:rPr>
            </w:pPr>
            <w:r>
              <w:rPr>
                <w:noProof/>
              </w:rPr>
              <w:t>9.1-4e/475/2021</w:t>
            </w:r>
          </w:p>
        </w:tc>
      </w:tr>
      <w:tr w:rsidR="00FC0B31" w:rsidTr="004E2C79">
        <w:trPr>
          <w:cantSplit/>
          <w:trHeight w:hRule="exact" w:val="397"/>
        </w:trPr>
        <w:tc>
          <w:tcPr>
            <w:tcW w:w="453" w:type="dxa"/>
            <w:hideMark/>
          </w:tcPr>
          <w:p w:rsidR="00781451" w:rsidRPr="007869BB" w:rsidRDefault="005421BB" w:rsidP="004E2C79">
            <w:pPr>
              <w:pStyle w:val="NoSpacing"/>
              <w:rPr>
                <w:lang w:val="lv-LV"/>
              </w:rPr>
            </w:pPr>
            <w:r w:rsidRPr="007869BB">
              <w:rPr>
                <w:lang w:val="lv-LV"/>
              </w:rPr>
              <w:t>Uz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1451" w:rsidRPr="007869BB" w:rsidRDefault="00781451" w:rsidP="004E2C79">
            <w:pPr>
              <w:pStyle w:val="NoSpacing"/>
              <w:rPr>
                <w:lang w:val="lv-LV"/>
              </w:rPr>
            </w:pPr>
          </w:p>
        </w:tc>
        <w:tc>
          <w:tcPr>
            <w:tcW w:w="566" w:type="dxa"/>
            <w:hideMark/>
          </w:tcPr>
          <w:p w:rsidR="00781451" w:rsidRPr="007869BB" w:rsidRDefault="005421BB" w:rsidP="004E2C79">
            <w:pPr>
              <w:pStyle w:val="NoSpacing"/>
              <w:rPr>
                <w:lang w:val="lv-LV"/>
              </w:rPr>
            </w:pPr>
            <w:r w:rsidRPr="007869BB">
              <w:rPr>
                <w:lang w:val="lv-LV"/>
              </w:rPr>
              <w:t xml:space="preserve"> Nr.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1451" w:rsidRPr="007869BB" w:rsidRDefault="00781451" w:rsidP="004E2C79">
            <w:pPr>
              <w:pStyle w:val="NoSpacing"/>
              <w:rPr>
                <w:lang w:val="lv-LV"/>
              </w:rPr>
            </w:pPr>
          </w:p>
        </w:tc>
      </w:tr>
    </w:tbl>
    <w:p w:rsidR="00E24ADA" w:rsidRPr="007869BB" w:rsidRDefault="00E24ADA" w:rsidP="00E24ADA">
      <w:pPr>
        <w:rPr>
          <w:szCs w:val="24"/>
          <w:lang w:val="lv-LV"/>
        </w:rPr>
      </w:pPr>
    </w:p>
    <w:p w:rsidR="00E241B9" w:rsidRDefault="005421BB" w:rsidP="00E24ADA">
      <w:pPr>
        <w:pStyle w:val="naisf14pt"/>
        <w:ind w:firstLine="0"/>
        <w:jc w:val="right"/>
        <w:rPr>
          <w:sz w:val="24"/>
        </w:rPr>
      </w:pPr>
      <w:r w:rsidRPr="006458AE">
        <w:rPr>
          <w:sz w:val="24"/>
        </w:rPr>
        <w:t>Ekonomikas ministr</w:t>
      </w:r>
      <w:r>
        <w:rPr>
          <w:sz w:val="24"/>
        </w:rPr>
        <w:t>am</w:t>
      </w:r>
    </w:p>
    <w:p w:rsidR="00E241B9" w:rsidRDefault="005421BB" w:rsidP="00E24ADA">
      <w:pPr>
        <w:pStyle w:val="naisf14pt"/>
        <w:ind w:firstLine="0"/>
        <w:jc w:val="right"/>
        <w:rPr>
          <w:sz w:val="24"/>
        </w:rPr>
      </w:pPr>
      <w:r>
        <w:rPr>
          <w:sz w:val="24"/>
        </w:rPr>
        <w:t xml:space="preserve">Jānim </w:t>
      </w:r>
      <w:proofErr w:type="spellStart"/>
      <w:r>
        <w:rPr>
          <w:sz w:val="24"/>
        </w:rPr>
        <w:t>Vitenbergam</w:t>
      </w:r>
      <w:proofErr w:type="spellEnd"/>
    </w:p>
    <w:p w:rsidR="00E24ADA" w:rsidRPr="006458AE" w:rsidRDefault="00E24ADA" w:rsidP="00FF5E8E">
      <w:pPr>
        <w:pStyle w:val="naisf14pt"/>
        <w:ind w:firstLine="0"/>
        <w:jc w:val="left"/>
        <w:rPr>
          <w:sz w:val="24"/>
        </w:rPr>
      </w:pPr>
    </w:p>
    <w:p w:rsidR="00FF5E8E" w:rsidRDefault="005421BB" w:rsidP="00FF5E8E">
      <w:pPr>
        <w:tabs>
          <w:tab w:val="left" w:pos="3686"/>
        </w:tabs>
        <w:ind w:right="3272" w:firstLine="0"/>
        <w:contextualSpacing/>
        <w:jc w:val="left"/>
        <w:rPr>
          <w:i/>
          <w:iCs/>
          <w:szCs w:val="24"/>
          <w:lang w:val="lv-LV"/>
        </w:rPr>
      </w:pPr>
      <w:r>
        <w:rPr>
          <w:i/>
          <w:iCs/>
          <w:szCs w:val="24"/>
          <w:lang w:val="lv-LV"/>
        </w:rPr>
        <w:t>P</w:t>
      </w:r>
      <w:r w:rsidR="000B265D" w:rsidRPr="006458AE">
        <w:rPr>
          <w:i/>
          <w:iCs/>
          <w:szCs w:val="24"/>
          <w:lang w:val="lv-LV"/>
        </w:rPr>
        <w:t>ar Ministru kabineta noteikumu</w:t>
      </w:r>
    </w:p>
    <w:p w:rsidR="00FF5E8E" w:rsidRDefault="005421BB" w:rsidP="00FF5E8E">
      <w:pPr>
        <w:tabs>
          <w:tab w:val="left" w:pos="3686"/>
        </w:tabs>
        <w:ind w:right="3272" w:firstLine="0"/>
        <w:contextualSpacing/>
        <w:jc w:val="left"/>
        <w:rPr>
          <w:i/>
          <w:iCs/>
          <w:szCs w:val="24"/>
          <w:lang w:val="lv-LV"/>
        </w:rPr>
      </w:pPr>
      <w:r w:rsidRPr="006458AE">
        <w:rPr>
          <w:i/>
          <w:iCs/>
          <w:szCs w:val="24"/>
          <w:lang w:val="lv-LV"/>
        </w:rPr>
        <w:t>projekt</w:t>
      </w:r>
      <w:r w:rsidR="00C50DF1">
        <w:rPr>
          <w:i/>
          <w:iCs/>
          <w:szCs w:val="24"/>
          <w:lang w:val="lv-LV"/>
        </w:rPr>
        <w:t>iem</w:t>
      </w:r>
      <w:r w:rsidRPr="006458AE">
        <w:rPr>
          <w:i/>
          <w:iCs/>
          <w:szCs w:val="24"/>
          <w:lang w:val="lv-LV"/>
        </w:rPr>
        <w:t xml:space="preserve"> </w:t>
      </w:r>
      <w:r w:rsidR="00CE4A24">
        <w:rPr>
          <w:i/>
          <w:iCs/>
          <w:szCs w:val="24"/>
          <w:lang w:val="lv-LV"/>
        </w:rPr>
        <w:t>“</w:t>
      </w:r>
      <w:r w:rsidR="00CE4A24" w:rsidRPr="00CE4A24">
        <w:rPr>
          <w:i/>
          <w:iCs/>
          <w:szCs w:val="24"/>
          <w:lang w:val="lv-LV"/>
        </w:rPr>
        <w:t>Grozījumi Ministru</w:t>
      </w:r>
      <w:r>
        <w:rPr>
          <w:i/>
          <w:iCs/>
          <w:szCs w:val="24"/>
          <w:lang w:val="lv-LV"/>
        </w:rPr>
        <w:t xml:space="preserve"> </w:t>
      </w:r>
      <w:r w:rsidR="00CE4A24" w:rsidRPr="00CE4A24">
        <w:rPr>
          <w:i/>
          <w:iCs/>
          <w:szCs w:val="24"/>
          <w:lang w:val="lv-LV"/>
        </w:rPr>
        <w:t>kabineta</w:t>
      </w:r>
    </w:p>
    <w:p w:rsidR="00FF5E8E" w:rsidRDefault="005421BB" w:rsidP="00FF5E8E">
      <w:pPr>
        <w:tabs>
          <w:tab w:val="left" w:pos="3686"/>
        </w:tabs>
        <w:ind w:right="3272" w:firstLine="0"/>
        <w:contextualSpacing/>
        <w:jc w:val="left"/>
        <w:rPr>
          <w:i/>
          <w:iCs/>
          <w:szCs w:val="24"/>
          <w:lang w:val="lv-LV"/>
        </w:rPr>
      </w:pPr>
      <w:r w:rsidRPr="00CE4A24">
        <w:rPr>
          <w:i/>
          <w:iCs/>
          <w:szCs w:val="24"/>
          <w:lang w:val="lv-LV"/>
        </w:rPr>
        <w:t>2020.gada 2.septembra noteikumos Nr.560</w:t>
      </w:r>
    </w:p>
    <w:p w:rsidR="00FF5E8E" w:rsidRDefault="005421BB" w:rsidP="00FF5E8E">
      <w:pPr>
        <w:tabs>
          <w:tab w:val="left" w:pos="3686"/>
        </w:tabs>
        <w:ind w:right="3272" w:firstLine="0"/>
        <w:contextualSpacing/>
        <w:jc w:val="left"/>
        <w:rPr>
          <w:i/>
          <w:iCs/>
          <w:szCs w:val="24"/>
          <w:lang w:val="lv-LV"/>
        </w:rPr>
      </w:pPr>
      <w:r>
        <w:rPr>
          <w:i/>
          <w:iCs/>
          <w:szCs w:val="24"/>
          <w:lang w:val="lv-LV"/>
        </w:rPr>
        <w:t>“</w:t>
      </w:r>
      <w:r w:rsidRPr="00CE4A24">
        <w:rPr>
          <w:i/>
          <w:iCs/>
          <w:szCs w:val="24"/>
          <w:lang w:val="lv-LV"/>
        </w:rPr>
        <w:t xml:space="preserve">Noteikumi par </w:t>
      </w:r>
      <w:r w:rsidRPr="00CE4A24">
        <w:rPr>
          <w:i/>
          <w:iCs/>
          <w:szCs w:val="24"/>
          <w:lang w:val="lv-LV"/>
        </w:rPr>
        <w:t>elektroenerģijas ražošanu,</w:t>
      </w:r>
    </w:p>
    <w:p w:rsidR="00FF5E8E" w:rsidRDefault="005421BB" w:rsidP="00FF5E8E">
      <w:pPr>
        <w:tabs>
          <w:tab w:val="left" w:pos="3686"/>
        </w:tabs>
        <w:ind w:right="3272" w:firstLine="0"/>
        <w:contextualSpacing/>
        <w:jc w:val="left"/>
        <w:rPr>
          <w:i/>
          <w:iCs/>
          <w:szCs w:val="24"/>
          <w:lang w:val="lv-LV"/>
        </w:rPr>
      </w:pPr>
      <w:r w:rsidRPr="00CE4A24">
        <w:rPr>
          <w:i/>
          <w:iCs/>
          <w:szCs w:val="24"/>
          <w:lang w:val="lv-LV"/>
        </w:rPr>
        <w:t>izmantojot atjaunojamos energoresursus, kā arī</w:t>
      </w:r>
    </w:p>
    <w:p w:rsidR="00FF5E8E" w:rsidRDefault="005421BB" w:rsidP="00FF5E8E">
      <w:pPr>
        <w:tabs>
          <w:tab w:val="left" w:pos="3686"/>
        </w:tabs>
        <w:ind w:right="3272" w:firstLine="0"/>
        <w:contextualSpacing/>
        <w:jc w:val="left"/>
        <w:rPr>
          <w:i/>
          <w:iCs/>
          <w:szCs w:val="24"/>
          <w:lang w:val="lv-LV"/>
        </w:rPr>
      </w:pPr>
      <w:r w:rsidRPr="00CE4A24">
        <w:rPr>
          <w:i/>
          <w:iCs/>
          <w:szCs w:val="24"/>
          <w:lang w:val="lv-LV"/>
        </w:rPr>
        <w:t>par cenu noteikšanas kārtību un uzraudzību”</w:t>
      </w:r>
      <w:r w:rsidR="006458AE" w:rsidRPr="006458AE">
        <w:rPr>
          <w:i/>
          <w:iCs/>
          <w:szCs w:val="24"/>
          <w:lang w:val="lv-LV"/>
        </w:rPr>
        <w:t>”</w:t>
      </w:r>
      <w:r w:rsidR="00C50DF1">
        <w:rPr>
          <w:i/>
          <w:iCs/>
          <w:szCs w:val="24"/>
          <w:lang w:val="lv-LV"/>
        </w:rPr>
        <w:t xml:space="preserve"> un</w:t>
      </w:r>
    </w:p>
    <w:p w:rsidR="00FF5E8E" w:rsidRDefault="005421BB" w:rsidP="00FF5E8E">
      <w:pPr>
        <w:tabs>
          <w:tab w:val="left" w:pos="3686"/>
        </w:tabs>
        <w:ind w:right="3272" w:firstLine="0"/>
        <w:contextualSpacing/>
        <w:jc w:val="left"/>
        <w:rPr>
          <w:i/>
          <w:iCs/>
          <w:szCs w:val="24"/>
          <w:lang w:val="lv-LV"/>
        </w:rPr>
      </w:pPr>
      <w:r w:rsidRPr="006458AE">
        <w:rPr>
          <w:i/>
          <w:iCs/>
          <w:szCs w:val="24"/>
          <w:lang w:val="lv-LV"/>
        </w:rPr>
        <w:t>“Grozījumi Ministru kabineta 2020.gada</w:t>
      </w:r>
    </w:p>
    <w:p w:rsidR="00FF5E8E" w:rsidRDefault="005421BB" w:rsidP="00FF5E8E">
      <w:pPr>
        <w:tabs>
          <w:tab w:val="left" w:pos="3686"/>
        </w:tabs>
        <w:ind w:right="3272" w:firstLine="0"/>
        <w:contextualSpacing/>
        <w:jc w:val="left"/>
        <w:rPr>
          <w:i/>
          <w:iCs/>
          <w:szCs w:val="24"/>
          <w:lang w:val="lv-LV"/>
        </w:rPr>
      </w:pPr>
      <w:r w:rsidRPr="006458AE">
        <w:rPr>
          <w:i/>
          <w:iCs/>
          <w:szCs w:val="24"/>
          <w:lang w:val="lv-LV"/>
        </w:rPr>
        <w:t>2.septembra noteikumos Nr.561</w:t>
      </w:r>
    </w:p>
    <w:p w:rsidR="00FF5E8E" w:rsidRDefault="005421BB" w:rsidP="00FF5E8E">
      <w:pPr>
        <w:tabs>
          <w:tab w:val="left" w:pos="3686"/>
        </w:tabs>
        <w:ind w:right="3272" w:firstLine="0"/>
        <w:contextualSpacing/>
        <w:jc w:val="left"/>
        <w:rPr>
          <w:i/>
          <w:iCs/>
          <w:szCs w:val="24"/>
          <w:lang w:val="lv-LV"/>
        </w:rPr>
      </w:pPr>
      <w:r w:rsidRPr="006458AE">
        <w:rPr>
          <w:i/>
          <w:iCs/>
          <w:szCs w:val="24"/>
          <w:lang w:val="lv-LV"/>
        </w:rPr>
        <w:t>“Noteikumi par elektroenerģijas ražošanu,</w:t>
      </w:r>
    </w:p>
    <w:p w:rsidR="00FF5E8E" w:rsidRDefault="005421BB" w:rsidP="00FF5E8E">
      <w:pPr>
        <w:tabs>
          <w:tab w:val="left" w:pos="3686"/>
        </w:tabs>
        <w:ind w:right="3272" w:firstLine="0"/>
        <w:contextualSpacing/>
        <w:jc w:val="left"/>
        <w:rPr>
          <w:i/>
          <w:iCs/>
          <w:szCs w:val="24"/>
          <w:lang w:val="lv-LV"/>
        </w:rPr>
      </w:pPr>
      <w:r w:rsidRPr="006458AE">
        <w:rPr>
          <w:i/>
          <w:iCs/>
          <w:szCs w:val="24"/>
          <w:lang w:val="lv-LV"/>
        </w:rPr>
        <w:t xml:space="preserve">uzraudzību un cenu </w:t>
      </w:r>
      <w:r w:rsidRPr="006458AE">
        <w:rPr>
          <w:i/>
          <w:iCs/>
          <w:szCs w:val="24"/>
          <w:lang w:val="lv-LV"/>
        </w:rPr>
        <w:t>noteikšanu, ražojot</w:t>
      </w:r>
    </w:p>
    <w:p w:rsidR="00803839" w:rsidRPr="006458AE" w:rsidRDefault="005421BB" w:rsidP="00FF5E8E">
      <w:pPr>
        <w:tabs>
          <w:tab w:val="left" w:pos="3686"/>
        </w:tabs>
        <w:ind w:right="3272" w:firstLine="0"/>
        <w:contextualSpacing/>
        <w:jc w:val="left"/>
        <w:rPr>
          <w:i/>
          <w:iCs/>
          <w:szCs w:val="24"/>
          <w:lang w:val="lv-LV"/>
        </w:rPr>
      </w:pPr>
      <w:r w:rsidRPr="006458AE">
        <w:rPr>
          <w:i/>
          <w:iCs/>
          <w:szCs w:val="24"/>
          <w:lang w:val="lv-LV"/>
        </w:rPr>
        <w:t>elektroenerģiju koģenerācijā””</w:t>
      </w:r>
    </w:p>
    <w:p w:rsidR="00E24ADA" w:rsidRPr="006458AE" w:rsidRDefault="00E24ADA" w:rsidP="00E24ADA">
      <w:pPr>
        <w:ind w:right="3698" w:firstLine="0"/>
        <w:contextualSpacing/>
        <w:rPr>
          <w:i/>
          <w:iCs/>
          <w:szCs w:val="24"/>
          <w:lang w:val="lv-LV"/>
        </w:rPr>
      </w:pPr>
    </w:p>
    <w:p w:rsidR="00066EF7" w:rsidRDefault="005421BB" w:rsidP="00066EF7">
      <w:pPr>
        <w:spacing w:before="120" w:after="120"/>
        <w:ind w:right="12"/>
        <w:contextualSpacing/>
        <w:rPr>
          <w:szCs w:val="24"/>
          <w:lang w:val="lv-LV"/>
        </w:rPr>
      </w:pPr>
      <w:r>
        <w:rPr>
          <w:rFonts w:eastAsia="Times New Roman"/>
          <w:szCs w:val="24"/>
          <w:lang w:val="lv-LV"/>
        </w:rPr>
        <w:t xml:space="preserve">Pēc diskusijām ar nozaru pārstāvjiem, </w:t>
      </w:r>
      <w:r w:rsidR="000B265D" w:rsidRPr="006458AE">
        <w:rPr>
          <w:rFonts w:eastAsia="Times New Roman"/>
          <w:szCs w:val="24"/>
          <w:lang w:val="lv-LV"/>
        </w:rPr>
        <w:t xml:space="preserve">Zemkopības ministrija </w:t>
      </w:r>
      <w:r>
        <w:rPr>
          <w:rFonts w:eastAsia="Times New Roman"/>
          <w:szCs w:val="24"/>
          <w:lang w:val="lv-LV"/>
        </w:rPr>
        <w:t>aicina vēlreiz izvērtēt sagatavotos</w:t>
      </w:r>
      <w:r w:rsidR="00803839" w:rsidRPr="00CE4A24">
        <w:rPr>
          <w:szCs w:val="24"/>
          <w:lang w:val="lv-LV"/>
        </w:rPr>
        <w:t xml:space="preserve"> noteikumu projektu</w:t>
      </w:r>
      <w:r>
        <w:rPr>
          <w:szCs w:val="24"/>
          <w:lang w:val="lv-LV"/>
        </w:rPr>
        <w:t>s</w:t>
      </w:r>
      <w:r w:rsidR="006458AE" w:rsidRPr="00CE4A24">
        <w:rPr>
          <w:szCs w:val="24"/>
          <w:lang w:val="lv-LV"/>
        </w:rPr>
        <w:t xml:space="preserve"> “</w:t>
      </w:r>
      <w:r w:rsidR="00CE4A24" w:rsidRPr="00CE4A24">
        <w:rPr>
          <w:szCs w:val="24"/>
          <w:lang w:val="lv-LV"/>
        </w:rPr>
        <w:t xml:space="preserve">Grozījumi Ministru kabineta 2020.gada 2.septembra noteikumos Nr.560 </w:t>
      </w:r>
      <w:r w:rsidR="00CE4A24">
        <w:rPr>
          <w:szCs w:val="24"/>
          <w:lang w:val="lv-LV"/>
        </w:rPr>
        <w:t>“</w:t>
      </w:r>
      <w:r w:rsidR="00CE4A24" w:rsidRPr="00850D3C">
        <w:rPr>
          <w:szCs w:val="24"/>
          <w:lang w:val="lv-LV"/>
        </w:rPr>
        <w:t>Noteikumi par elektroenerģijas ražošanu, izmantojot atjaunojamos energoresursus, kā arī par cenu noteikšanas kārtību un uzraudzību”</w:t>
      </w:r>
      <w:r w:rsidR="006458AE" w:rsidRPr="00850D3C">
        <w:rPr>
          <w:szCs w:val="24"/>
          <w:lang w:val="lv-LV"/>
        </w:rPr>
        <w:t>”</w:t>
      </w:r>
      <w:r>
        <w:rPr>
          <w:szCs w:val="24"/>
          <w:lang w:val="lv-LV"/>
        </w:rPr>
        <w:t xml:space="preserve"> un</w:t>
      </w:r>
      <w:r w:rsidRPr="006458AE">
        <w:rPr>
          <w:rFonts w:eastAsia="Times New Roman"/>
          <w:szCs w:val="24"/>
          <w:lang w:val="lv-LV"/>
        </w:rPr>
        <w:t xml:space="preserve"> “Grozījumi Ministru kabineta </w:t>
      </w:r>
      <w:r w:rsidRPr="00420BFB">
        <w:rPr>
          <w:lang w:val="lv-LV"/>
        </w:rPr>
        <w:t xml:space="preserve">2020.gada 2.septembra noteikumos Nr.561 “Noteikumi par elektroenerģijas ražošanu, uzraudzību un cenu noteikšanu, ražojot elektroenerģiju </w:t>
      </w:r>
      <w:r w:rsidRPr="00394795">
        <w:rPr>
          <w:lang w:val="lv-LV"/>
        </w:rPr>
        <w:t xml:space="preserve">koģenerācijā”” </w:t>
      </w:r>
      <w:r w:rsidR="00420BFB" w:rsidRPr="00850D3C">
        <w:rPr>
          <w:szCs w:val="24"/>
          <w:lang w:val="lv-LV"/>
        </w:rPr>
        <w:t xml:space="preserve"> (turpmāk – noteikumu projekt</w:t>
      </w:r>
      <w:r w:rsidR="00B41906">
        <w:rPr>
          <w:szCs w:val="24"/>
          <w:lang w:val="lv-LV"/>
        </w:rPr>
        <w:t>i</w:t>
      </w:r>
      <w:r w:rsidR="00420BFB" w:rsidRPr="00850D3C">
        <w:rPr>
          <w:szCs w:val="24"/>
          <w:lang w:val="lv-LV"/>
        </w:rPr>
        <w:t>)</w:t>
      </w:r>
      <w:r w:rsidR="0039513F" w:rsidRPr="00850D3C">
        <w:rPr>
          <w:szCs w:val="24"/>
          <w:lang w:val="lv-LV"/>
        </w:rPr>
        <w:t>,</w:t>
      </w:r>
      <w:r w:rsidR="000B265D" w:rsidRPr="00850D3C">
        <w:rPr>
          <w:szCs w:val="24"/>
          <w:lang w:val="lv-LV"/>
        </w:rPr>
        <w:t xml:space="preserve"> un</w:t>
      </w:r>
      <w:r>
        <w:rPr>
          <w:szCs w:val="24"/>
          <w:lang w:val="lv-LV"/>
        </w:rPr>
        <w:t xml:space="preserve"> </w:t>
      </w:r>
      <w:r w:rsidR="000B265D" w:rsidRPr="00850D3C">
        <w:rPr>
          <w:szCs w:val="24"/>
          <w:lang w:val="lv-LV"/>
        </w:rPr>
        <w:t>t</w:t>
      </w:r>
      <w:r w:rsidR="00803839" w:rsidRPr="00850D3C">
        <w:rPr>
          <w:szCs w:val="24"/>
          <w:lang w:val="lv-LV"/>
        </w:rPr>
        <w:t>o</w:t>
      </w:r>
      <w:r w:rsidR="000B265D" w:rsidRPr="00850D3C">
        <w:rPr>
          <w:szCs w:val="24"/>
          <w:lang w:val="lv-LV"/>
        </w:rPr>
        <w:t xml:space="preserve"> anotācij</w:t>
      </w:r>
      <w:r w:rsidR="00803839" w:rsidRPr="00850D3C">
        <w:rPr>
          <w:szCs w:val="24"/>
          <w:lang w:val="lv-LV"/>
        </w:rPr>
        <w:t>as</w:t>
      </w:r>
      <w:r w:rsidR="000B265D" w:rsidRPr="00850D3C">
        <w:rPr>
          <w:szCs w:val="24"/>
          <w:lang w:val="lv-LV"/>
        </w:rPr>
        <w:t xml:space="preserve"> un </w:t>
      </w:r>
      <w:r w:rsidR="00420BFB" w:rsidRPr="00850D3C">
        <w:rPr>
          <w:szCs w:val="24"/>
          <w:lang w:val="lv-LV"/>
        </w:rPr>
        <w:t>ne</w:t>
      </w:r>
      <w:r w:rsidR="000B265D" w:rsidRPr="00850D3C">
        <w:rPr>
          <w:szCs w:val="24"/>
          <w:lang w:val="lv-LV"/>
        </w:rPr>
        <w:t xml:space="preserve">atbalsta to tālāku virzību, ja </w:t>
      </w:r>
      <w:r w:rsidR="00061440" w:rsidRPr="00850D3C">
        <w:rPr>
          <w:szCs w:val="24"/>
          <w:lang w:val="lv-LV"/>
        </w:rPr>
        <w:t>ne</w:t>
      </w:r>
      <w:r w:rsidR="000B265D" w:rsidRPr="00850D3C">
        <w:rPr>
          <w:szCs w:val="24"/>
          <w:lang w:val="lv-LV"/>
        </w:rPr>
        <w:t>tiks vē</w:t>
      </w:r>
      <w:r>
        <w:rPr>
          <w:szCs w:val="24"/>
          <w:lang w:val="lv-LV"/>
        </w:rPr>
        <w:t>lreiz izv</w:t>
      </w:r>
      <w:r>
        <w:rPr>
          <w:szCs w:val="24"/>
          <w:lang w:val="lv-LV"/>
        </w:rPr>
        <w:t>ērtēti būtiskākie nosacījumi un rasts alternatīvs risinājums, lai biogāzes stacijas varētu turpināt darbu un nepārtraukt ražošanu</w:t>
      </w:r>
      <w:bookmarkStart w:id="1" w:name="_Hlk62058175"/>
      <w:bookmarkStart w:id="2" w:name="_Hlk62058570"/>
      <w:r>
        <w:rPr>
          <w:szCs w:val="24"/>
          <w:lang w:val="lv-LV"/>
        </w:rPr>
        <w:t>.</w:t>
      </w:r>
    </w:p>
    <w:p w:rsidR="001A0B8A" w:rsidRDefault="005421BB" w:rsidP="001A0B8A">
      <w:pPr>
        <w:spacing w:before="120" w:after="120"/>
        <w:ind w:right="12"/>
        <w:contextualSpacing/>
        <w:rPr>
          <w:szCs w:val="24"/>
          <w:lang w:val="lv-LV"/>
        </w:rPr>
      </w:pPr>
      <w:r>
        <w:rPr>
          <w:szCs w:val="24"/>
          <w:lang w:val="lv-LV"/>
        </w:rPr>
        <w:t xml:space="preserve">Šobrīd noteikumos kritiski svarīgākais nosacījums ir </w:t>
      </w:r>
      <w:r w:rsidR="00652E33">
        <w:rPr>
          <w:szCs w:val="24"/>
          <w:lang w:val="lv-LV"/>
        </w:rPr>
        <w:t xml:space="preserve">IRR </w:t>
      </w:r>
      <w:r>
        <w:rPr>
          <w:szCs w:val="24"/>
          <w:lang w:val="lv-LV"/>
        </w:rPr>
        <w:t>aprēķina metodikas pārskatīšana, kur būtiskākais:</w:t>
      </w:r>
    </w:p>
    <w:p w:rsidR="00407F3A" w:rsidRDefault="005421BB" w:rsidP="001A0B8A">
      <w:pPr>
        <w:pStyle w:val="ListParagraph"/>
        <w:numPr>
          <w:ilvl w:val="0"/>
          <w:numId w:val="23"/>
        </w:numPr>
        <w:spacing w:before="120" w:after="120"/>
        <w:ind w:right="12"/>
        <w:rPr>
          <w:rFonts w:eastAsia="Times New Roman"/>
          <w:lang w:val="lv-LV" w:eastAsia="lv-LV"/>
        </w:rPr>
      </w:pPr>
      <w:r>
        <w:rPr>
          <w:lang w:val="lv-LV"/>
        </w:rPr>
        <w:t>U</w:t>
      </w:r>
      <w:r w:rsidR="001A0B8A" w:rsidRPr="00096B83">
        <w:rPr>
          <w:lang w:val="lv-LV"/>
        </w:rPr>
        <w:t>zskatām,</w:t>
      </w:r>
      <w:r w:rsidR="001A0B8A" w:rsidRPr="001A0B8A">
        <w:rPr>
          <w:lang w:val="lv-LV"/>
        </w:rPr>
        <w:t xml:space="preserve"> ka no noteikumiem pirmkārt ir </w:t>
      </w:r>
      <w:r w:rsidR="001A0B8A" w:rsidRPr="001A0B8A">
        <w:rPr>
          <w:b/>
          <w:bCs/>
          <w:u w:val="single"/>
          <w:lang w:val="lv-LV"/>
        </w:rPr>
        <w:t>jāizslēdz</w:t>
      </w:r>
      <w:bookmarkStart w:id="3" w:name="_Hlk62058710"/>
      <w:bookmarkEnd w:id="1"/>
      <w:r w:rsidR="001A0B8A" w:rsidRPr="001A0B8A">
        <w:rPr>
          <w:lang w:val="lv-LV"/>
        </w:rPr>
        <w:t xml:space="preserve"> </w:t>
      </w:r>
      <w:r w:rsidR="001A0B8A" w:rsidRPr="001A0B8A">
        <w:rPr>
          <w:rFonts w:eastAsia="Times New Roman"/>
          <w:b/>
          <w:bCs/>
          <w:u w:val="single"/>
          <w:lang w:val="lv-LV" w:eastAsia="lv-LV"/>
        </w:rPr>
        <w:t>prasības</w:t>
      </w:r>
      <w:r w:rsidR="001A0B8A" w:rsidRPr="001A0B8A">
        <w:rPr>
          <w:rFonts w:eastAsia="Times New Roman"/>
          <w:lang w:val="lv-LV" w:eastAsia="lv-LV"/>
        </w:rPr>
        <w:t xml:space="preserve"> ar atpakaļejošu spēku pieprasīt atmaksāt </w:t>
      </w:r>
      <w:r w:rsidR="001A0B8A" w:rsidRPr="001A0B8A">
        <w:rPr>
          <w:rFonts w:eastAsia="Times New Roman"/>
          <w:b/>
          <w:bCs/>
          <w:u w:val="single"/>
          <w:lang w:val="lv-LV" w:eastAsia="lv-LV"/>
        </w:rPr>
        <w:t>it kā</w:t>
      </w:r>
      <w:r w:rsidR="001A0B8A" w:rsidRPr="001A0B8A">
        <w:rPr>
          <w:rFonts w:eastAsia="Times New Roman"/>
          <w:lang w:val="lv-LV" w:eastAsia="lv-LV"/>
        </w:rPr>
        <w:t xml:space="preserve"> </w:t>
      </w:r>
      <w:r w:rsidR="001A0B8A" w:rsidRPr="001A0B8A">
        <w:rPr>
          <w:rFonts w:eastAsia="Times New Roman"/>
          <w:u w:val="single"/>
          <w:lang w:val="lv-LV" w:eastAsia="lv-LV"/>
        </w:rPr>
        <w:t>pārmaksāto atbalstu</w:t>
      </w:r>
      <w:r w:rsidR="001A0B8A" w:rsidRPr="001A0B8A">
        <w:rPr>
          <w:rFonts w:eastAsia="Times New Roman"/>
          <w:lang w:val="lv-LV" w:eastAsia="lv-LV"/>
        </w:rPr>
        <w:t xml:space="preserve"> un mainoties IIR aprēķinam, ja tas ietekmē negatīvi saimniecisko darbību, ir jāparedz pārejas periods, kura laikā ražotājs turpina saņemt OI un cenšas pārorientēt savu darbību. </w:t>
      </w:r>
    </w:p>
    <w:p w:rsidR="001A0B8A" w:rsidRPr="001A0B8A" w:rsidRDefault="005421BB" w:rsidP="001A0B8A">
      <w:pPr>
        <w:pStyle w:val="ListParagraph"/>
        <w:widowControl/>
        <w:numPr>
          <w:ilvl w:val="0"/>
          <w:numId w:val="23"/>
        </w:numPr>
        <w:rPr>
          <w:rFonts w:eastAsia="Times New Roman"/>
          <w:lang w:val="lv-LV" w:eastAsia="lv-LV"/>
        </w:rPr>
      </w:pPr>
      <w:r w:rsidRPr="001A0B8A">
        <w:rPr>
          <w:rFonts w:eastAsia="Times New Roman"/>
          <w:lang w:val="lv-LV" w:eastAsia="lv-LV"/>
        </w:rPr>
        <w:t>IRR noteikšana (</w:t>
      </w:r>
      <w:proofErr w:type="spellStart"/>
      <w:r w:rsidRPr="001A0B8A">
        <w:rPr>
          <w:rFonts w:eastAsia="Times New Roman"/>
          <w:lang w:val="lv-LV" w:eastAsia="lv-LV"/>
        </w:rPr>
        <w:t>pārkompensācijas</w:t>
      </w:r>
      <w:proofErr w:type="spellEnd"/>
      <w:r w:rsidRPr="001A0B8A">
        <w:rPr>
          <w:rFonts w:eastAsia="Times New Roman"/>
          <w:lang w:val="lv-LV" w:eastAsia="lv-LV"/>
        </w:rPr>
        <w:t xml:space="preserve"> novēršana)  balstās </w:t>
      </w:r>
      <w:r w:rsidRPr="001A0B8A">
        <w:rPr>
          <w:rFonts w:eastAsia="Times New Roman"/>
          <w:u w:val="single"/>
          <w:lang w:val="lv-LV" w:eastAsia="lv-LV"/>
        </w:rPr>
        <w:t>faktiskajās izdevumu vēr</w:t>
      </w:r>
      <w:r w:rsidRPr="001A0B8A">
        <w:rPr>
          <w:rFonts w:eastAsia="Times New Roman"/>
          <w:u w:val="single"/>
          <w:lang w:val="lv-LV" w:eastAsia="lv-LV"/>
        </w:rPr>
        <w:t>tībās</w:t>
      </w:r>
      <w:r w:rsidRPr="001A0B8A">
        <w:rPr>
          <w:rFonts w:eastAsia="Times New Roman"/>
          <w:lang w:val="lv-LV" w:eastAsia="lv-LV"/>
        </w:rPr>
        <w:t xml:space="preserve">, taču </w:t>
      </w:r>
      <w:r w:rsidRPr="001A0B8A">
        <w:rPr>
          <w:rFonts w:eastAsia="Times New Roman"/>
          <w:u w:val="single"/>
          <w:lang w:val="lv-LV" w:eastAsia="lv-LV"/>
        </w:rPr>
        <w:t>visām pretī jābūt</w:t>
      </w:r>
      <w:r w:rsidRPr="001A0B8A">
        <w:rPr>
          <w:rFonts w:eastAsia="Times New Roman"/>
          <w:lang w:val="lv-LV" w:eastAsia="lv-LV"/>
        </w:rPr>
        <w:t xml:space="preserve"> arī </w:t>
      </w:r>
      <w:proofErr w:type="spellStart"/>
      <w:r w:rsidRPr="001A0B8A">
        <w:rPr>
          <w:rFonts w:eastAsia="Times New Roman"/>
          <w:lang w:val="lv-LV" w:eastAsia="lv-LV"/>
        </w:rPr>
        <w:t>līmeņatzīmēm</w:t>
      </w:r>
      <w:proofErr w:type="spellEnd"/>
      <w:r w:rsidRPr="001A0B8A">
        <w:rPr>
          <w:rFonts w:eastAsia="Times New Roman"/>
          <w:lang w:val="lv-LV" w:eastAsia="lv-LV"/>
        </w:rPr>
        <w:t xml:space="preserve">, kuras pielieto periodos, kad nav iespējams uzrādīt faktiskās vērtības. Šā brīža </w:t>
      </w:r>
      <w:r w:rsidR="009848A4">
        <w:rPr>
          <w:rFonts w:eastAsia="Times New Roman"/>
          <w:lang w:val="lv-LV" w:eastAsia="lv-LV"/>
        </w:rPr>
        <w:t xml:space="preserve">noteikumu </w:t>
      </w:r>
      <w:r w:rsidRPr="001A0B8A">
        <w:rPr>
          <w:rFonts w:eastAsia="Times New Roman"/>
          <w:lang w:val="lv-LV" w:eastAsia="lv-LV"/>
        </w:rPr>
        <w:t>projekt</w:t>
      </w:r>
      <w:r w:rsidR="009848A4">
        <w:rPr>
          <w:rFonts w:eastAsia="Times New Roman"/>
          <w:lang w:val="lv-LV" w:eastAsia="lv-LV"/>
        </w:rPr>
        <w:t>os</w:t>
      </w:r>
      <w:r w:rsidRPr="001A0B8A">
        <w:rPr>
          <w:rFonts w:eastAsia="Times New Roman"/>
          <w:lang w:val="lv-LV" w:eastAsia="lv-LV"/>
        </w:rPr>
        <w:t xml:space="preserve"> </w:t>
      </w:r>
      <w:r w:rsidRPr="001A0B8A">
        <w:rPr>
          <w:rFonts w:eastAsia="Times New Roman"/>
          <w:u w:val="single"/>
          <w:lang w:val="lv-LV" w:eastAsia="lv-LV"/>
        </w:rPr>
        <w:t xml:space="preserve">nav noteiktas </w:t>
      </w:r>
      <w:proofErr w:type="spellStart"/>
      <w:r w:rsidRPr="001A0B8A">
        <w:rPr>
          <w:rFonts w:eastAsia="Times New Roman"/>
          <w:u w:val="single"/>
          <w:lang w:val="lv-LV" w:eastAsia="lv-LV"/>
        </w:rPr>
        <w:t>līmeņatzīmes</w:t>
      </w:r>
      <w:proofErr w:type="spellEnd"/>
      <w:r w:rsidRPr="001A0B8A">
        <w:rPr>
          <w:rFonts w:eastAsia="Times New Roman"/>
          <w:lang w:val="lv-LV" w:eastAsia="lv-LV"/>
        </w:rPr>
        <w:t xml:space="preserve"> ne sākotnējām investīcijām, ne papildu investīcijām.</w:t>
      </w:r>
    </w:p>
    <w:p w:rsidR="001A0B8A" w:rsidRPr="001A0B8A" w:rsidRDefault="005421BB" w:rsidP="001A0B8A">
      <w:pPr>
        <w:pStyle w:val="ListParagraph"/>
        <w:widowControl/>
        <w:numPr>
          <w:ilvl w:val="0"/>
          <w:numId w:val="23"/>
        </w:numPr>
        <w:rPr>
          <w:rFonts w:eastAsia="Times New Roman"/>
          <w:lang w:val="lv-LV" w:eastAsia="lv-LV"/>
        </w:rPr>
      </w:pPr>
      <w:r w:rsidRPr="001A0B8A">
        <w:rPr>
          <w:rFonts w:eastAsia="Times New Roman"/>
          <w:lang w:val="lv-LV" w:eastAsia="lv-LV"/>
        </w:rPr>
        <w:t xml:space="preserve">Ja ekspluatācijas izdevumus </w:t>
      </w:r>
      <w:r w:rsidRPr="001A0B8A">
        <w:rPr>
          <w:rFonts w:eastAsia="Times New Roman"/>
          <w:lang w:val="lv-LV" w:eastAsia="lv-LV"/>
        </w:rPr>
        <w:t xml:space="preserve">iekļauj aprēķinā tikai ar </w:t>
      </w:r>
      <w:proofErr w:type="spellStart"/>
      <w:r w:rsidRPr="001A0B8A">
        <w:rPr>
          <w:rFonts w:eastAsia="Times New Roman"/>
          <w:lang w:val="lv-LV" w:eastAsia="lv-LV"/>
        </w:rPr>
        <w:t>līmeņatzīmēm</w:t>
      </w:r>
      <w:proofErr w:type="spellEnd"/>
      <w:r w:rsidRPr="001A0B8A">
        <w:rPr>
          <w:rFonts w:eastAsia="Times New Roman"/>
          <w:lang w:val="lv-LV" w:eastAsia="lv-LV"/>
        </w:rPr>
        <w:t xml:space="preserve">, tad tiem ir jābūt pamatotiem reālos faktos un maksimāli pietuvinātiem vidējām nozares vērtībām. Ņemot vērā, ka absolūti lielākajai daļai uzņēmumu ir jau veikts IRR aprēķins </w:t>
      </w:r>
      <w:r w:rsidRPr="001A0B8A">
        <w:rPr>
          <w:rFonts w:eastAsia="Times New Roman"/>
          <w:lang w:val="lv-LV" w:eastAsia="lv-LV"/>
        </w:rPr>
        <w:lastRenderedPageBreak/>
        <w:t>pēc sākotnēji noteiktās kārtības (tajā skai</w:t>
      </w:r>
      <w:r w:rsidRPr="001A0B8A">
        <w:rPr>
          <w:rFonts w:eastAsia="Times New Roman"/>
          <w:lang w:val="lv-LV" w:eastAsia="lv-LV"/>
        </w:rPr>
        <w:t xml:space="preserve">tā </w:t>
      </w:r>
      <w:r w:rsidRPr="001A0B8A">
        <w:rPr>
          <w:rFonts w:eastAsia="Times New Roman"/>
          <w:b/>
          <w:bCs/>
          <w:u w:val="single"/>
          <w:lang w:val="lv-LV" w:eastAsia="lv-LV"/>
        </w:rPr>
        <w:t>arī samazināti iepirkuma tarifi</w:t>
      </w:r>
      <w:r w:rsidRPr="001A0B8A">
        <w:rPr>
          <w:rFonts w:eastAsia="Times New Roman"/>
          <w:lang w:val="lv-LV" w:eastAsia="lv-LV"/>
        </w:rPr>
        <w:t xml:space="preserve">), nozare uzskata par pareizāko risinājumu, ka turpmākiem aprēķiniem tiek izmantotas </w:t>
      </w:r>
      <w:proofErr w:type="spellStart"/>
      <w:r w:rsidRPr="001A0B8A">
        <w:rPr>
          <w:rFonts w:eastAsia="Times New Roman"/>
          <w:lang w:val="lv-LV" w:eastAsia="lv-LV"/>
        </w:rPr>
        <w:t>līmeņatzīmes</w:t>
      </w:r>
      <w:proofErr w:type="spellEnd"/>
      <w:r w:rsidRPr="001A0B8A">
        <w:rPr>
          <w:rFonts w:eastAsia="Times New Roman"/>
          <w:lang w:val="lv-LV" w:eastAsia="lv-LV"/>
        </w:rPr>
        <w:t xml:space="preserve"> no līdzšinējās IRR aprēķina kārtības. Proti, nozare uzskata, ka ekspluatācijas izdevumu vērtēšana tikai caur </w:t>
      </w:r>
      <w:proofErr w:type="spellStart"/>
      <w:r w:rsidRPr="001A0B8A">
        <w:rPr>
          <w:rFonts w:eastAsia="Times New Roman"/>
          <w:lang w:val="lv-LV" w:eastAsia="lv-LV"/>
        </w:rPr>
        <w:t>līmeņatzmēm</w:t>
      </w:r>
      <w:proofErr w:type="spellEnd"/>
      <w:r w:rsidRPr="001A0B8A">
        <w:rPr>
          <w:rFonts w:eastAsia="Times New Roman"/>
          <w:lang w:val="lv-LV" w:eastAsia="lv-LV"/>
        </w:rPr>
        <w:t xml:space="preserve"> (ku</w:t>
      </w:r>
      <w:r w:rsidRPr="001A0B8A">
        <w:rPr>
          <w:rFonts w:eastAsia="Times New Roman"/>
          <w:lang w:val="lv-LV" w:eastAsia="lv-LV"/>
        </w:rPr>
        <w:t xml:space="preserve">rām, saprotams, jāatspoguļo nozares patiesā aina – no </w:t>
      </w:r>
      <w:r w:rsidRPr="001A0B8A">
        <w:rPr>
          <w:rFonts w:eastAsia="Times New Roman"/>
          <w:b/>
          <w:bCs/>
          <w:u w:val="single"/>
          <w:lang w:val="lv-LV" w:eastAsia="lv-LV"/>
        </w:rPr>
        <w:t>atbilstošiem kvalitatīviem pētījumiem</w:t>
      </w:r>
      <w:r w:rsidRPr="001A0B8A">
        <w:rPr>
          <w:rFonts w:eastAsia="Times New Roman"/>
          <w:lang w:val="lv-LV" w:eastAsia="lv-LV"/>
        </w:rPr>
        <w:t>) ir pieļaujama </w:t>
      </w:r>
      <w:r w:rsidRPr="001A0B8A">
        <w:rPr>
          <w:rFonts w:eastAsia="Times New Roman"/>
          <w:b/>
          <w:bCs/>
          <w:u w:val="single"/>
          <w:lang w:val="lv-LV" w:eastAsia="lv-LV"/>
        </w:rPr>
        <w:t>vienīgi tad</w:t>
      </w:r>
      <w:r w:rsidRPr="001A0B8A">
        <w:rPr>
          <w:rFonts w:eastAsia="Times New Roman"/>
          <w:lang w:val="lv-LV" w:eastAsia="lv-LV"/>
        </w:rPr>
        <w:t>, ja tiek atjaunota spēkā esošā kārtība, kurā atsevišķi formulās ir iekļautas "ekspluatācijas izmaksas", "pārējās darbības izmaksas" un da</w:t>
      </w:r>
      <w:r w:rsidRPr="001A0B8A">
        <w:rPr>
          <w:rFonts w:eastAsia="Times New Roman"/>
          <w:lang w:val="lv-LV" w:eastAsia="lv-LV"/>
        </w:rPr>
        <w:t xml:space="preserve">rba slodžu </w:t>
      </w:r>
      <w:proofErr w:type="spellStart"/>
      <w:r w:rsidRPr="001A0B8A">
        <w:rPr>
          <w:rFonts w:eastAsia="Times New Roman"/>
          <w:lang w:val="lv-LV" w:eastAsia="lv-LV"/>
        </w:rPr>
        <w:t>līmeņatzīme</w:t>
      </w:r>
      <w:proofErr w:type="spellEnd"/>
      <w:r w:rsidRPr="001A0B8A">
        <w:rPr>
          <w:rFonts w:eastAsia="Times New Roman"/>
          <w:lang w:val="lv-LV" w:eastAsia="lv-LV"/>
        </w:rPr>
        <w:t xml:space="preserve"> ar attiecināmo algu tabulu un tas viss tiek indeksēts ar inflācijas koeficientu.</w:t>
      </w:r>
    </w:p>
    <w:p w:rsidR="001A0B8A" w:rsidRPr="00096B83" w:rsidRDefault="005421BB" w:rsidP="00453A60">
      <w:pPr>
        <w:pStyle w:val="ListParagraph"/>
        <w:numPr>
          <w:ilvl w:val="0"/>
          <w:numId w:val="23"/>
        </w:numPr>
        <w:spacing w:before="120" w:after="120"/>
        <w:ind w:right="12"/>
        <w:rPr>
          <w:rFonts w:eastAsia="Times New Roman"/>
          <w:lang w:val="lv-LV" w:eastAsia="lv-LV"/>
        </w:rPr>
      </w:pPr>
      <w:r w:rsidRPr="00096B83">
        <w:rPr>
          <w:rFonts w:eastAsia="Times New Roman"/>
          <w:lang w:val="lv-LV" w:eastAsia="lv-LV"/>
        </w:rPr>
        <w:t>Noteikumu grozījumi var tikt apstiprināt</w:t>
      </w:r>
      <w:r w:rsidR="009848A4">
        <w:rPr>
          <w:rFonts w:eastAsia="Times New Roman"/>
          <w:lang w:val="lv-LV" w:eastAsia="lv-LV"/>
        </w:rPr>
        <w:t>i</w:t>
      </w:r>
      <w:r w:rsidRPr="00096B83">
        <w:rPr>
          <w:rFonts w:eastAsia="Times New Roman"/>
          <w:lang w:val="lv-LV" w:eastAsia="lv-LV"/>
        </w:rPr>
        <w:t xml:space="preserve"> </w:t>
      </w:r>
      <w:r w:rsidRPr="00096B83">
        <w:rPr>
          <w:rFonts w:eastAsia="Times New Roman"/>
          <w:u w:val="single"/>
          <w:lang w:val="lv-LV" w:eastAsia="lv-LV"/>
        </w:rPr>
        <w:t>tikai kopā ar metodiskajiem norādījumiem IRR aprēķināšanas veikšanai</w:t>
      </w:r>
      <w:r w:rsidRPr="00096B83">
        <w:rPr>
          <w:rFonts w:eastAsia="Times New Roman"/>
          <w:lang w:val="lv-LV" w:eastAsia="lv-LV"/>
        </w:rPr>
        <w:t>. Konkrēti – ir jābūt skaidri definētiem k</w:t>
      </w:r>
      <w:r w:rsidRPr="00096B83">
        <w:rPr>
          <w:rFonts w:eastAsia="Times New Roman"/>
          <w:lang w:val="lv-LV" w:eastAsia="lv-LV"/>
        </w:rPr>
        <w:t xml:space="preserve">ritērijiem, kā tiks noteiktas </w:t>
      </w:r>
      <w:r w:rsidRPr="00096B83">
        <w:rPr>
          <w:rFonts w:eastAsia="Times New Roman"/>
          <w:u w:val="single"/>
          <w:lang w:val="lv-LV" w:eastAsia="lv-LV"/>
        </w:rPr>
        <w:t>atbalstāmās (vai nē)</w:t>
      </w:r>
      <w:r w:rsidRPr="00096B83">
        <w:rPr>
          <w:rFonts w:eastAsia="Times New Roman"/>
          <w:lang w:val="lv-LV" w:eastAsia="lv-LV"/>
        </w:rPr>
        <w:t xml:space="preserve"> investīcijas un izdevumi. </w:t>
      </w:r>
    </w:p>
    <w:p w:rsidR="00C50DF1" w:rsidRPr="00C50DF1" w:rsidRDefault="005421BB" w:rsidP="00C50DF1">
      <w:pPr>
        <w:widowControl/>
        <w:rPr>
          <w:rFonts w:eastAsia="Times New Roman"/>
          <w:lang w:val="lv-LV" w:eastAsia="lv-LV"/>
        </w:rPr>
      </w:pPr>
      <w:r>
        <w:rPr>
          <w:rFonts w:eastAsia="Times New Roman"/>
          <w:lang w:val="lv-LV" w:eastAsia="lv-LV"/>
        </w:rPr>
        <w:t>Papildus iepriekš minētajam n</w:t>
      </w:r>
      <w:r w:rsidRPr="00C50DF1">
        <w:rPr>
          <w:rFonts w:eastAsia="Times New Roman"/>
          <w:lang w:val="lv-LV" w:eastAsia="lv-LV"/>
        </w:rPr>
        <w:t>ozares uzņēmēji uzskata,  ka ražotājam ir tiesības izstāties no obligātā iepirkuma sistēmas jebkurā brīd</w:t>
      </w:r>
      <w:r>
        <w:rPr>
          <w:rFonts w:eastAsia="Times New Roman"/>
          <w:lang w:val="lv-LV" w:eastAsia="lv-LV"/>
        </w:rPr>
        <w:t>ī</w:t>
      </w:r>
      <w:r w:rsidRPr="00C50DF1">
        <w:rPr>
          <w:rFonts w:eastAsia="Times New Roman"/>
          <w:lang w:val="lv-LV" w:eastAsia="lv-LV"/>
        </w:rPr>
        <w:t>.</w:t>
      </w:r>
      <w:r w:rsidRPr="00C50DF1">
        <w:rPr>
          <w:rFonts w:eastAsia="Times New Roman"/>
          <w:b/>
          <w:bCs/>
          <w:u w:val="single"/>
          <w:lang w:val="lv-LV" w:eastAsia="lv-LV"/>
        </w:rPr>
        <w:t xml:space="preserve"> Nedrīkst pielietot</w:t>
      </w:r>
      <w:r w:rsidRPr="00C50DF1">
        <w:rPr>
          <w:rFonts w:eastAsia="Times New Roman"/>
          <w:lang w:val="lv-LV" w:eastAsia="lv-LV"/>
        </w:rPr>
        <w:t xml:space="preserve"> vēl kādus represīvus instrumentus </w:t>
      </w:r>
      <w:r w:rsidRPr="00C50DF1">
        <w:rPr>
          <w:rFonts w:eastAsia="Times New Roman"/>
          <w:b/>
          <w:bCs/>
          <w:u w:val="single"/>
          <w:lang w:val="lv-LV" w:eastAsia="lv-LV"/>
        </w:rPr>
        <w:t>pēc labprātīgas atteikšanās</w:t>
      </w:r>
      <w:r w:rsidRPr="00C50DF1">
        <w:rPr>
          <w:rFonts w:eastAsia="Times New Roman"/>
          <w:lang w:val="lv-LV" w:eastAsia="lv-LV"/>
        </w:rPr>
        <w:t xml:space="preserve"> no atbalsta saņemšanas. </w:t>
      </w:r>
    </w:p>
    <w:p w:rsidR="00C50DF1" w:rsidRDefault="005421BB" w:rsidP="00C50DF1">
      <w:pPr>
        <w:widowControl/>
        <w:rPr>
          <w:rFonts w:eastAsia="Times New Roman"/>
          <w:lang w:val="lv-LV" w:eastAsia="lv-LV"/>
        </w:rPr>
      </w:pPr>
      <w:r>
        <w:rPr>
          <w:rFonts w:eastAsia="Times New Roman"/>
          <w:lang w:val="lv-LV" w:eastAsia="lv-LV"/>
        </w:rPr>
        <w:t xml:space="preserve">Tā pat noteikumu projektos ir vēlreiz jāizvērtē un no </w:t>
      </w:r>
      <w:r w:rsidRPr="00C50DF1">
        <w:rPr>
          <w:rFonts w:eastAsia="Times New Roman"/>
          <w:lang w:val="lv-LV" w:eastAsia="lv-LV"/>
        </w:rPr>
        <w:t>noteikumu  projektiem</w:t>
      </w:r>
      <w:r>
        <w:rPr>
          <w:rFonts w:eastAsia="Times New Roman"/>
          <w:lang w:val="lv-LV" w:eastAsia="lv-LV"/>
        </w:rPr>
        <w:t xml:space="preserve"> ir jāizslēdz</w:t>
      </w:r>
      <w:r w:rsidRPr="00C50DF1">
        <w:rPr>
          <w:rFonts w:eastAsia="Times New Roman"/>
          <w:b/>
          <w:bCs/>
          <w:u w:val="single"/>
          <w:lang w:val="lv-LV" w:eastAsia="lv-LV"/>
        </w:rPr>
        <w:t xml:space="preserve"> </w:t>
      </w:r>
      <w:proofErr w:type="spellStart"/>
      <w:r w:rsidRPr="00C50DF1">
        <w:rPr>
          <w:rFonts w:eastAsia="Times New Roman"/>
          <w:b/>
          <w:bCs/>
          <w:u w:val="single"/>
          <w:lang w:val="lv-LV" w:eastAsia="lv-LV"/>
        </w:rPr>
        <w:t>retroaktīv</w:t>
      </w:r>
      <w:r>
        <w:rPr>
          <w:rFonts w:eastAsia="Times New Roman"/>
          <w:b/>
          <w:bCs/>
          <w:u w:val="single"/>
          <w:lang w:val="lv-LV" w:eastAsia="lv-LV"/>
        </w:rPr>
        <w:t>ā</w:t>
      </w:r>
      <w:r w:rsidRPr="00C50DF1">
        <w:rPr>
          <w:rFonts w:eastAsia="Times New Roman"/>
          <w:b/>
          <w:bCs/>
          <w:u w:val="single"/>
          <w:lang w:val="lv-LV" w:eastAsia="lv-LV"/>
        </w:rPr>
        <w:t>s</w:t>
      </w:r>
      <w:proofErr w:type="spellEnd"/>
      <w:r w:rsidRPr="00C50DF1">
        <w:rPr>
          <w:rFonts w:eastAsia="Times New Roman"/>
          <w:b/>
          <w:bCs/>
          <w:u w:val="single"/>
          <w:lang w:val="lv-LV" w:eastAsia="lv-LV"/>
        </w:rPr>
        <w:t xml:space="preserve"> (uz pagājušo periodu vērstas)</w:t>
      </w:r>
      <w:r w:rsidRPr="00C50DF1">
        <w:rPr>
          <w:rFonts w:eastAsia="Times New Roman"/>
          <w:lang w:val="lv-LV" w:eastAsia="lv-LV"/>
        </w:rPr>
        <w:t xml:space="preserve"> prasības par pamatlīdzekļu vērtības </w:t>
      </w:r>
      <w:r w:rsidRPr="00C50DF1">
        <w:rPr>
          <w:rFonts w:eastAsia="Times New Roman"/>
          <w:lang w:val="lv-LV" w:eastAsia="lv-LV"/>
        </w:rPr>
        <w:t>saistīšanu ar OI</w:t>
      </w:r>
      <w:r>
        <w:rPr>
          <w:rFonts w:eastAsia="Times New Roman"/>
          <w:lang w:val="lv-LV" w:eastAsia="lv-LV"/>
        </w:rPr>
        <w:t>K</w:t>
      </w:r>
      <w:r w:rsidRPr="00C50DF1">
        <w:rPr>
          <w:rFonts w:eastAsia="Times New Roman"/>
          <w:lang w:val="lv-LV" w:eastAsia="lv-LV"/>
        </w:rPr>
        <w:t xml:space="preserve"> tiesībām.   </w:t>
      </w:r>
      <w:r>
        <w:rPr>
          <w:rFonts w:eastAsia="Times New Roman"/>
          <w:lang w:val="lv-LV" w:eastAsia="lv-LV"/>
        </w:rPr>
        <w:t>P</w:t>
      </w:r>
      <w:r w:rsidRPr="00C50DF1">
        <w:rPr>
          <w:rFonts w:eastAsia="Times New Roman"/>
          <w:lang w:val="lv-LV" w:eastAsia="lv-LV"/>
        </w:rPr>
        <w:t>aredzamajā Vienotā tehnoloģiskā cikla</w:t>
      </w:r>
      <w:r w:rsidR="009848A4">
        <w:rPr>
          <w:rFonts w:eastAsia="Times New Roman"/>
          <w:lang w:val="lv-LV" w:eastAsia="lv-LV"/>
        </w:rPr>
        <w:t xml:space="preserve"> (VTC)</w:t>
      </w:r>
      <w:r w:rsidRPr="00C50DF1">
        <w:rPr>
          <w:rFonts w:eastAsia="Times New Roman"/>
          <w:lang w:val="lv-LV" w:eastAsia="lv-LV"/>
        </w:rPr>
        <w:t xml:space="preserve"> principa piemērošanas kārtībā ir pieļaujamas tikai prasības un nosacījumi mākslīgi sadalīto staciju apvienošanai (kuras ir sadalītas, lai optimizētu  tarifu piemērošanu), bet </w:t>
      </w:r>
      <w:r w:rsidR="009848A4" w:rsidRPr="009848A4">
        <w:rPr>
          <w:rFonts w:eastAsia="Times New Roman"/>
          <w:b/>
          <w:bCs/>
          <w:lang w:val="lv-LV" w:eastAsia="lv-LV"/>
        </w:rPr>
        <w:t xml:space="preserve">nav </w:t>
      </w:r>
      <w:r w:rsidRPr="009848A4">
        <w:rPr>
          <w:rFonts w:eastAsia="Times New Roman"/>
          <w:b/>
          <w:bCs/>
          <w:lang w:val="lv-LV" w:eastAsia="lv-LV"/>
        </w:rPr>
        <w:t>pi</w:t>
      </w:r>
      <w:r w:rsidRPr="009848A4">
        <w:rPr>
          <w:rFonts w:eastAsia="Times New Roman"/>
          <w:b/>
          <w:bCs/>
          <w:lang w:val="lv-LV" w:eastAsia="lv-LV"/>
        </w:rPr>
        <w:t>eļaujama</w:t>
      </w:r>
      <w:r w:rsidRPr="00C50DF1">
        <w:rPr>
          <w:rFonts w:eastAsia="Times New Roman"/>
          <w:lang w:val="lv-LV" w:eastAsia="lv-LV"/>
        </w:rPr>
        <w:t xml:space="preserve"> kurināmā sagatavošanas daļas iekļaušana VTC. </w:t>
      </w:r>
    </w:p>
    <w:p w:rsidR="00C50DF1" w:rsidRDefault="005421BB" w:rsidP="00C50DF1">
      <w:pPr>
        <w:widowControl/>
        <w:rPr>
          <w:rFonts w:eastAsia="Times New Roman"/>
          <w:lang w:val="lv-LV" w:eastAsia="lv-LV"/>
        </w:rPr>
      </w:pPr>
      <w:r>
        <w:rPr>
          <w:rFonts w:eastAsia="Times New Roman"/>
          <w:lang w:val="lv-LV" w:eastAsia="lv-LV"/>
        </w:rPr>
        <w:t>Zemkopības ministrija atkārtoti aicina Ekonomikas ministriju vēlreiz diskutēt ar nozari par iepriekš minētajiem punktiem un n</w:t>
      </w:r>
      <w:r w:rsidRPr="00C50DF1">
        <w:rPr>
          <w:rFonts w:eastAsia="Times New Roman"/>
          <w:lang w:val="lv-LV" w:eastAsia="lv-LV"/>
        </w:rPr>
        <w:t>ozare ir gatava piedāvāt arī nepieciešamos grozījumus</w:t>
      </w:r>
      <w:r w:rsidR="009848A4">
        <w:rPr>
          <w:rFonts w:eastAsia="Times New Roman"/>
          <w:lang w:val="lv-LV" w:eastAsia="lv-LV"/>
        </w:rPr>
        <w:t xml:space="preserve"> noteikumos</w:t>
      </w:r>
      <w:r w:rsidRPr="00C50DF1">
        <w:rPr>
          <w:rFonts w:eastAsia="Times New Roman"/>
          <w:lang w:val="lv-LV" w:eastAsia="lv-LV"/>
        </w:rPr>
        <w:t xml:space="preserve">, </w:t>
      </w:r>
      <w:r w:rsidR="009848A4">
        <w:rPr>
          <w:rFonts w:eastAsia="Times New Roman"/>
          <w:lang w:val="lv-LV" w:eastAsia="lv-LV"/>
        </w:rPr>
        <w:t xml:space="preserve">izstrādāt definīcijas un </w:t>
      </w:r>
      <w:r w:rsidRPr="00C50DF1">
        <w:rPr>
          <w:rFonts w:eastAsia="Times New Roman"/>
          <w:lang w:val="lv-LV" w:eastAsia="lv-LV"/>
        </w:rPr>
        <w:t>papildinājumus terminu skaidrojumā.</w:t>
      </w:r>
    </w:p>
    <w:p w:rsidR="00C50DF1" w:rsidRDefault="00C50DF1" w:rsidP="00C50DF1">
      <w:pPr>
        <w:widowControl/>
        <w:rPr>
          <w:rFonts w:eastAsia="Times New Roman"/>
          <w:lang w:val="lv-LV" w:eastAsia="lv-LV"/>
        </w:rPr>
      </w:pPr>
    </w:p>
    <w:p w:rsidR="00C50DF1" w:rsidRPr="00E241B9" w:rsidRDefault="005421BB" w:rsidP="00C50DF1">
      <w:pPr>
        <w:rPr>
          <w:rFonts w:ascii="Calibri Light" w:hAnsi="Calibri Light" w:cs="Calibri Light"/>
          <w:lang w:val="lv-LV" w:eastAsia="lv-LV"/>
        </w:rPr>
      </w:pPr>
      <w:r w:rsidRPr="00E241B9">
        <w:rPr>
          <w:rFonts w:eastAsia="Times New Roman"/>
          <w:lang w:val="lv-LV"/>
        </w:rPr>
        <w:t xml:space="preserve">Papildus nozare ir gatava vēlreiz diskutēt par noteikumos lietotajiem terminiem un izvērtēt iespēju iekļaut definīcijas kas attiecās uz biogāzes staciju, lai nodrošinātu to, ka atbalsts būtu vērsts tieši </w:t>
      </w:r>
      <w:r w:rsidRPr="00E241B9">
        <w:rPr>
          <w:rFonts w:eastAsia="Times New Roman"/>
          <w:lang w:val="lv-LV"/>
        </w:rPr>
        <w:t>uz biogāzes stacijā</w:t>
      </w:r>
      <w:r w:rsidR="00745550" w:rsidRPr="00E241B9">
        <w:rPr>
          <w:rFonts w:eastAsia="Times New Roman"/>
          <w:lang w:val="lv-LV"/>
        </w:rPr>
        <w:t>m un tādējādi varētu nodrošināt to nepārtraukto darbību.</w:t>
      </w:r>
      <w:r w:rsidRPr="00E241B9">
        <w:rPr>
          <w:rFonts w:eastAsia="Times New Roman"/>
          <w:lang w:val="lv-LV"/>
        </w:rPr>
        <w:t xml:space="preserve"> </w:t>
      </w:r>
    </w:p>
    <w:p w:rsidR="00C50DF1" w:rsidRPr="00E241B9" w:rsidRDefault="00C50DF1" w:rsidP="00C50DF1">
      <w:pPr>
        <w:widowControl/>
        <w:rPr>
          <w:rFonts w:eastAsia="Times New Roman"/>
          <w:lang w:val="lv-LV" w:eastAsia="lv-LV"/>
        </w:rPr>
      </w:pPr>
    </w:p>
    <w:p w:rsidR="00096B83" w:rsidRPr="00E241B9" w:rsidRDefault="00096B83" w:rsidP="00096B83">
      <w:pPr>
        <w:spacing w:before="120" w:after="120"/>
        <w:ind w:right="12" w:firstLine="0"/>
        <w:rPr>
          <w:rFonts w:eastAsia="Times New Roman"/>
          <w:lang w:val="lv-LV" w:eastAsia="lv-LV"/>
        </w:rPr>
      </w:pPr>
    </w:p>
    <w:p w:rsidR="00E241B9" w:rsidRDefault="005421BB" w:rsidP="00E241B9">
      <w:pPr>
        <w:spacing w:before="120" w:after="120"/>
        <w:ind w:right="12" w:firstLine="0"/>
        <w:contextualSpacing/>
        <w:rPr>
          <w:lang w:val="lv-LV"/>
        </w:rPr>
      </w:pPr>
      <w:r>
        <w:rPr>
          <w:szCs w:val="24"/>
          <w:lang w:val="lv-LV"/>
        </w:rPr>
        <w:t>Zemkopības ministrs</w:t>
      </w:r>
      <w:r>
        <w:rPr>
          <w:szCs w:val="24"/>
          <w:lang w:val="lv-LV"/>
        </w:rPr>
        <w:tab/>
      </w:r>
      <w:r>
        <w:rPr>
          <w:szCs w:val="24"/>
          <w:lang w:val="lv-LV"/>
        </w:rPr>
        <w:tab/>
      </w:r>
      <w:r>
        <w:rPr>
          <w:szCs w:val="24"/>
          <w:lang w:val="lv-LV"/>
        </w:rPr>
        <w:tab/>
      </w:r>
      <w:r>
        <w:rPr>
          <w:szCs w:val="24"/>
          <w:lang w:val="lv-LV"/>
        </w:rPr>
        <w:tab/>
      </w:r>
      <w:r>
        <w:rPr>
          <w:szCs w:val="24"/>
          <w:lang w:val="lv-LV"/>
        </w:rPr>
        <w:tab/>
      </w:r>
      <w:r>
        <w:rPr>
          <w:szCs w:val="24"/>
          <w:lang w:val="lv-LV"/>
        </w:rPr>
        <w:tab/>
      </w:r>
      <w:r>
        <w:rPr>
          <w:szCs w:val="24"/>
          <w:lang w:val="lv-LV"/>
        </w:rPr>
        <w:tab/>
      </w:r>
      <w:r>
        <w:rPr>
          <w:szCs w:val="24"/>
          <w:lang w:val="lv-LV"/>
        </w:rPr>
        <w:tab/>
      </w:r>
      <w:r>
        <w:rPr>
          <w:szCs w:val="24"/>
          <w:lang w:val="lv-LV"/>
        </w:rPr>
        <w:tab/>
      </w:r>
      <w:proofErr w:type="spellStart"/>
      <w:r>
        <w:rPr>
          <w:szCs w:val="24"/>
          <w:lang w:val="lv-LV"/>
        </w:rPr>
        <w:t>K.Gerhards</w:t>
      </w:r>
      <w:proofErr w:type="spellEnd"/>
    </w:p>
    <w:bookmarkEnd w:id="2"/>
    <w:bookmarkEnd w:id="3"/>
    <w:p w:rsidR="00FF5E8E" w:rsidRDefault="005421BB" w:rsidP="00E24ADA">
      <w:pPr>
        <w:ind w:firstLine="0"/>
        <w:rPr>
          <w:szCs w:val="24"/>
          <w:lang w:val="lv-LV"/>
        </w:rPr>
      </w:pPr>
      <w:r>
        <w:rPr>
          <w:szCs w:val="24"/>
          <w:lang w:val="lv-LV"/>
        </w:rPr>
        <w:tab/>
      </w:r>
      <w:r>
        <w:rPr>
          <w:szCs w:val="24"/>
          <w:lang w:val="lv-LV"/>
        </w:rPr>
        <w:tab/>
      </w:r>
    </w:p>
    <w:p w:rsidR="00FF5E8E" w:rsidRDefault="00FF5E8E" w:rsidP="00E24ADA">
      <w:pPr>
        <w:ind w:firstLine="0"/>
        <w:rPr>
          <w:szCs w:val="24"/>
          <w:lang w:val="lv-LV"/>
        </w:rPr>
      </w:pPr>
    </w:p>
    <w:p w:rsidR="00FF5E8E" w:rsidRDefault="00FF5E8E" w:rsidP="00E24ADA">
      <w:pPr>
        <w:ind w:firstLine="0"/>
        <w:rPr>
          <w:szCs w:val="24"/>
          <w:lang w:val="lv-LV"/>
        </w:rPr>
      </w:pPr>
    </w:p>
    <w:p w:rsidR="00FF5E8E" w:rsidRDefault="00FF5E8E" w:rsidP="00E24ADA">
      <w:pPr>
        <w:ind w:firstLine="0"/>
        <w:rPr>
          <w:szCs w:val="24"/>
          <w:lang w:val="lv-LV"/>
        </w:rPr>
      </w:pPr>
    </w:p>
    <w:p w:rsidR="00FF5E8E" w:rsidRDefault="00FF5E8E" w:rsidP="00E24ADA">
      <w:pPr>
        <w:ind w:firstLine="0"/>
        <w:rPr>
          <w:szCs w:val="24"/>
          <w:lang w:val="lv-LV"/>
        </w:rPr>
      </w:pPr>
    </w:p>
    <w:p w:rsidR="00FF5E8E" w:rsidRDefault="00FF5E8E" w:rsidP="00E24ADA">
      <w:pPr>
        <w:ind w:firstLine="0"/>
        <w:rPr>
          <w:szCs w:val="24"/>
          <w:lang w:val="lv-LV"/>
        </w:rPr>
      </w:pPr>
    </w:p>
    <w:p w:rsidR="00FF5E8E" w:rsidRDefault="00FF5E8E" w:rsidP="00E24ADA">
      <w:pPr>
        <w:ind w:firstLine="0"/>
        <w:rPr>
          <w:szCs w:val="24"/>
          <w:lang w:val="lv-LV"/>
        </w:rPr>
      </w:pPr>
    </w:p>
    <w:p w:rsidR="00FF5E8E" w:rsidRDefault="00FF5E8E" w:rsidP="00E24ADA">
      <w:pPr>
        <w:ind w:firstLine="0"/>
        <w:rPr>
          <w:szCs w:val="24"/>
          <w:lang w:val="lv-LV"/>
        </w:rPr>
      </w:pPr>
    </w:p>
    <w:p w:rsidR="00FF5E8E" w:rsidRDefault="00FF5E8E" w:rsidP="00E24ADA">
      <w:pPr>
        <w:ind w:firstLine="0"/>
        <w:rPr>
          <w:szCs w:val="24"/>
          <w:lang w:val="lv-LV"/>
        </w:rPr>
      </w:pPr>
    </w:p>
    <w:p w:rsidR="00E24ADA" w:rsidRDefault="005421BB" w:rsidP="00E24ADA">
      <w:pPr>
        <w:ind w:firstLine="0"/>
        <w:rPr>
          <w:szCs w:val="24"/>
          <w:lang w:val="lv-LV"/>
        </w:rPr>
      </w:pPr>
      <w:r>
        <w:rPr>
          <w:szCs w:val="24"/>
          <w:lang w:val="lv-LV"/>
        </w:rPr>
        <w:tab/>
      </w:r>
      <w:r>
        <w:rPr>
          <w:szCs w:val="24"/>
          <w:lang w:val="lv-LV"/>
        </w:rPr>
        <w:tab/>
      </w:r>
      <w:r>
        <w:rPr>
          <w:szCs w:val="24"/>
          <w:lang w:val="lv-LV"/>
        </w:rPr>
        <w:tab/>
      </w:r>
      <w:r>
        <w:rPr>
          <w:szCs w:val="24"/>
          <w:lang w:val="lv-LV"/>
        </w:rPr>
        <w:tab/>
      </w:r>
      <w:r>
        <w:rPr>
          <w:szCs w:val="24"/>
          <w:lang w:val="lv-LV"/>
        </w:rPr>
        <w:tab/>
      </w:r>
      <w:r>
        <w:rPr>
          <w:szCs w:val="24"/>
          <w:lang w:val="lv-LV"/>
        </w:rPr>
        <w:tab/>
      </w:r>
      <w:r>
        <w:rPr>
          <w:szCs w:val="24"/>
          <w:lang w:val="lv-LV"/>
        </w:rPr>
        <w:tab/>
      </w:r>
    </w:p>
    <w:p w:rsidR="00E24ADA" w:rsidRDefault="00E24ADA" w:rsidP="00E24ADA">
      <w:pPr>
        <w:rPr>
          <w:szCs w:val="24"/>
          <w:lang w:val="lv-LV"/>
        </w:rPr>
      </w:pPr>
    </w:p>
    <w:p w:rsidR="002925AE" w:rsidRPr="00FF5E8E" w:rsidRDefault="005421BB" w:rsidP="002925AE">
      <w:pPr>
        <w:tabs>
          <w:tab w:val="left" w:pos="4215"/>
        </w:tabs>
        <w:ind w:right="-2" w:firstLine="0"/>
        <w:contextualSpacing/>
        <w:jc w:val="left"/>
        <w:rPr>
          <w:sz w:val="20"/>
          <w:szCs w:val="20"/>
          <w:lang w:val="lv-LV"/>
        </w:rPr>
      </w:pPr>
      <w:proofErr w:type="spellStart"/>
      <w:r w:rsidRPr="00FF5E8E">
        <w:rPr>
          <w:sz w:val="20"/>
          <w:szCs w:val="20"/>
          <w:lang w:val="lv-LV"/>
        </w:rPr>
        <w:t>Silicka</w:t>
      </w:r>
      <w:proofErr w:type="spellEnd"/>
      <w:r w:rsidRPr="00FF5E8E">
        <w:rPr>
          <w:sz w:val="20"/>
          <w:szCs w:val="20"/>
          <w:lang w:val="lv-LV"/>
        </w:rPr>
        <w:t xml:space="preserve"> </w:t>
      </w:r>
      <w:r w:rsidR="00AD637C" w:rsidRPr="00FF5E8E">
        <w:rPr>
          <w:sz w:val="20"/>
          <w:szCs w:val="20"/>
          <w:lang w:val="lv-LV"/>
        </w:rPr>
        <w:t>67027393</w:t>
      </w:r>
    </w:p>
    <w:p w:rsidR="00E24ADA" w:rsidRPr="00FF5E8E" w:rsidRDefault="005421BB" w:rsidP="002925AE">
      <w:pPr>
        <w:tabs>
          <w:tab w:val="left" w:pos="4215"/>
        </w:tabs>
        <w:ind w:right="-2" w:firstLine="0"/>
        <w:contextualSpacing/>
        <w:jc w:val="left"/>
        <w:rPr>
          <w:sz w:val="20"/>
          <w:szCs w:val="20"/>
          <w:lang w:val="lv-LV"/>
        </w:rPr>
      </w:pPr>
      <w:hyperlink r:id="rId7" w:history="1">
        <w:r w:rsidR="000B265D" w:rsidRPr="00FF5E8E">
          <w:rPr>
            <w:rStyle w:val="Hyperlink"/>
            <w:sz w:val="20"/>
            <w:szCs w:val="20"/>
            <w:lang w:val="lv-LV"/>
          </w:rPr>
          <w:t>natalja.silicka@zm.gov.lv</w:t>
        </w:r>
      </w:hyperlink>
    </w:p>
    <w:p w:rsidR="002925AE" w:rsidRDefault="002925AE" w:rsidP="002925AE">
      <w:pPr>
        <w:tabs>
          <w:tab w:val="left" w:pos="4215"/>
        </w:tabs>
        <w:ind w:right="-2" w:firstLine="0"/>
        <w:contextualSpacing/>
        <w:jc w:val="left"/>
        <w:rPr>
          <w:sz w:val="20"/>
          <w:szCs w:val="20"/>
          <w:lang w:val="lv-LV"/>
        </w:rPr>
      </w:pPr>
    </w:p>
    <w:p w:rsidR="00E0006B" w:rsidRDefault="00E0006B" w:rsidP="002925AE">
      <w:pPr>
        <w:tabs>
          <w:tab w:val="left" w:pos="4215"/>
        </w:tabs>
        <w:ind w:right="-2" w:firstLine="0"/>
        <w:contextualSpacing/>
        <w:jc w:val="left"/>
        <w:rPr>
          <w:sz w:val="20"/>
          <w:szCs w:val="20"/>
          <w:lang w:val="lv-LV"/>
        </w:rPr>
      </w:pPr>
    </w:p>
    <w:p w:rsidR="00E0006B" w:rsidRDefault="00E0006B" w:rsidP="002925AE">
      <w:pPr>
        <w:tabs>
          <w:tab w:val="left" w:pos="4215"/>
        </w:tabs>
        <w:ind w:right="-2" w:firstLine="0"/>
        <w:contextualSpacing/>
        <w:jc w:val="left"/>
        <w:rPr>
          <w:sz w:val="20"/>
          <w:szCs w:val="20"/>
          <w:lang w:val="lv-LV"/>
        </w:rPr>
      </w:pPr>
    </w:p>
    <w:p w:rsidR="00E0006B" w:rsidRDefault="00E0006B" w:rsidP="002925AE">
      <w:pPr>
        <w:tabs>
          <w:tab w:val="left" w:pos="4215"/>
        </w:tabs>
        <w:ind w:right="-2" w:firstLine="0"/>
        <w:contextualSpacing/>
        <w:jc w:val="left"/>
        <w:rPr>
          <w:sz w:val="20"/>
          <w:szCs w:val="20"/>
          <w:lang w:val="lv-LV"/>
        </w:rPr>
      </w:pPr>
    </w:p>
    <w:p w:rsidR="00E0006B" w:rsidRDefault="00E0006B" w:rsidP="002925AE">
      <w:pPr>
        <w:tabs>
          <w:tab w:val="left" w:pos="4215"/>
        </w:tabs>
        <w:ind w:right="-2" w:firstLine="0"/>
        <w:contextualSpacing/>
        <w:jc w:val="left"/>
        <w:rPr>
          <w:sz w:val="20"/>
          <w:szCs w:val="20"/>
          <w:lang w:val="lv-LV"/>
        </w:rPr>
      </w:pPr>
    </w:p>
    <w:p w:rsidR="002925AE" w:rsidRDefault="005421BB" w:rsidP="002925AE">
      <w:pPr>
        <w:framePr w:w="7621" w:h="631" w:hRule="exact" w:hSpace="180" w:wrap="around" w:vAnchor="text" w:hAnchor="page" w:x="2176" w:y="1"/>
        <w:tabs>
          <w:tab w:val="left" w:pos="8789"/>
        </w:tabs>
        <w:ind w:left="142" w:right="579"/>
        <w:jc w:val="center"/>
        <w:rPr>
          <w:sz w:val="20"/>
          <w:lang w:val="lv-LV"/>
        </w:rPr>
      </w:pPr>
      <w:r>
        <w:rPr>
          <w:sz w:val="20"/>
          <w:lang w:val="lv-LV"/>
        </w:rPr>
        <w:t xml:space="preserve">ŠIS </w:t>
      </w:r>
      <w:r>
        <w:rPr>
          <w:sz w:val="20"/>
          <w:lang w:val="lv-LV"/>
        </w:rPr>
        <w:t>DOKUMENTS IR PARAKSTĪTS AR DROŠU</w:t>
      </w:r>
    </w:p>
    <w:p w:rsidR="002925AE" w:rsidRDefault="005421BB" w:rsidP="002925AE">
      <w:pPr>
        <w:framePr w:w="7621" w:h="631" w:hRule="exact" w:hSpace="180" w:wrap="around" w:vAnchor="text" w:hAnchor="page" w:x="2176" w:y="1"/>
        <w:tabs>
          <w:tab w:val="left" w:pos="8789"/>
        </w:tabs>
        <w:ind w:left="142" w:right="579"/>
        <w:jc w:val="center"/>
        <w:rPr>
          <w:sz w:val="20"/>
          <w:lang w:val="lv-LV"/>
        </w:rPr>
      </w:pPr>
      <w:r>
        <w:rPr>
          <w:sz w:val="20"/>
          <w:lang w:val="lv-LV"/>
        </w:rPr>
        <w:t>ELEKTRONISKO PARAKSTU UN SATUR LAIKA ZĪMOGU</w:t>
      </w:r>
    </w:p>
    <w:p w:rsidR="002925AE" w:rsidRPr="002925AE" w:rsidRDefault="002925AE" w:rsidP="002925AE">
      <w:pPr>
        <w:tabs>
          <w:tab w:val="left" w:pos="4215"/>
        </w:tabs>
        <w:ind w:right="-2" w:firstLine="0"/>
        <w:contextualSpacing/>
        <w:jc w:val="left"/>
        <w:rPr>
          <w:sz w:val="20"/>
          <w:szCs w:val="20"/>
          <w:lang w:val="lv-LV"/>
        </w:rPr>
      </w:pPr>
    </w:p>
    <w:sectPr w:rsidR="002925AE" w:rsidRPr="002925AE" w:rsidSect="00E24ADA">
      <w:headerReference w:type="first" r:id="rId8"/>
      <w:type w:val="continuous"/>
      <w:pgSz w:w="11920" w:h="16840"/>
      <w:pgMar w:top="1134" w:right="851" w:bottom="1134" w:left="1701" w:header="3686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21BB" w:rsidRDefault="005421BB">
      <w:r>
        <w:separator/>
      </w:r>
    </w:p>
  </w:endnote>
  <w:endnote w:type="continuationSeparator" w:id="0">
    <w:p w:rsidR="005421BB" w:rsidRDefault="00542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Letterica Baltic">
    <w:altName w:val="Arial"/>
    <w:charset w:val="BA"/>
    <w:family w:val="swiss"/>
    <w:pitch w:val="variable"/>
    <w:sig w:usb0="00000001" w:usb1="00000048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21BB" w:rsidRDefault="005421BB">
      <w:r>
        <w:separator/>
      </w:r>
    </w:p>
  </w:footnote>
  <w:footnote w:type="continuationSeparator" w:id="0">
    <w:p w:rsidR="005421BB" w:rsidRDefault="005421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72D8" w:rsidRPr="00FF0532" w:rsidRDefault="005421BB" w:rsidP="00E24ADA">
    <w:pPr>
      <w:pStyle w:val="Header"/>
      <w:ind w:firstLine="0"/>
      <w:jc w:val="center"/>
      <w:rPr>
        <w:lang w:val="lv-LV"/>
      </w:rPr>
    </w:pPr>
    <w:r w:rsidRPr="00FF0532">
      <w:rPr>
        <w:rFonts w:ascii="Letterica Baltic" w:hAnsi="Letterica Baltic"/>
        <w:sz w:val="18"/>
        <w:lang w:val="lv-LV"/>
      </w:rPr>
      <w:t>Rīgā</w:t>
    </w:r>
    <w:r w:rsidRPr="00FF0532">
      <w:rPr>
        <w:noProof/>
        <w:lang w:val="lv-LV" w:eastAsia="lv-LV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1217930</wp:posOffset>
          </wp:positionH>
          <wp:positionV relativeFrom="page">
            <wp:posOffset>742950</wp:posOffset>
          </wp:positionV>
          <wp:extent cx="5671820" cy="1033145"/>
          <wp:effectExtent l="0" t="0" r="5080" b="0"/>
          <wp:wrapNone/>
          <wp:docPr id="8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>
                            <a14:imgEffect>
                              <a14:colorTemperature colorTemp="64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671820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 w:rsidRPr="00FF0532">
      <w:rPr>
        <w:noProof/>
        <w:lang w:val="lv-LV" w:eastAsia="lv-LV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1171575</wp:posOffset>
              </wp:positionH>
              <wp:positionV relativeFrom="page">
                <wp:posOffset>2030730</wp:posOffset>
              </wp:positionV>
              <wp:extent cx="5838825" cy="314325"/>
              <wp:effectExtent l="0" t="0" r="9525" b="9525"/>
              <wp:wrapNone/>
              <wp:docPr id="5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72D8" w:rsidRPr="00FF0532" w:rsidRDefault="005421BB" w:rsidP="00E24ADA">
                          <w:pPr>
                            <w:spacing w:line="194" w:lineRule="exact"/>
                            <w:ind w:left="23" w:right="-45" w:firstLine="0"/>
                            <w:jc w:val="center"/>
                            <w:rPr>
                              <w:rFonts w:eastAsia="Times New Roman"/>
                              <w:sz w:val="17"/>
                              <w:szCs w:val="17"/>
                              <w:lang w:val="lv-LV"/>
                            </w:rPr>
                          </w:pPr>
                          <w:r w:rsidRPr="00FF0532">
                            <w:rPr>
                              <w:rFonts w:eastAsia="Times New Roman"/>
                              <w:color w:val="231F20"/>
                              <w:sz w:val="17"/>
                              <w:szCs w:val="17"/>
                              <w:lang w:val="lv-LV"/>
                            </w:rPr>
                            <w:t>Republikas laukums 2, Rīga, LV-</w:t>
                          </w:r>
                          <w:r>
                            <w:rPr>
                              <w:rFonts w:eastAsia="Times New Roman"/>
                              <w:color w:val="231F20"/>
                              <w:sz w:val="17"/>
                              <w:szCs w:val="17"/>
                              <w:lang w:val="lv-LV"/>
                            </w:rPr>
                            <w:t>1981</w:t>
                          </w:r>
                          <w:r w:rsidRPr="00FF0532">
                            <w:rPr>
                              <w:rFonts w:eastAsia="Times New Roman"/>
                              <w:color w:val="231F20"/>
                              <w:sz w:val="17"/>
                              <w:szCs w:val="17"/>
                              <w:lang w:val="lv-LV"/>
                            </w:rPr>
                            <w:t xml:space="preserve">, tālr. 67027010, fakss 67027512, e-pasts </w:t>
                          </w:r>
                          <w:r>
                            <w:rPr>
                              <w:rFonts w:eastAsia="Times New Roman"/>
                              <w:color w:val="231F20"/>
                              <w:sz w:val="17"/>
                              <w:szCs w:val="17"/>
                              <w:lang w:val="lv-LV"/>
                            </w:rPr>
                            <w:t>pasts</w:t>
                          </w:r>
                          <w:r w:rsidRPr="00FF0532">
                            <w:rPr>
                              <w:rFonts w:eastAsia="Times New Roman"/>
                              <w:color w:val="231F20"/>
                              <w:sz w:val="17"/>
                              <w:szCs w:val="17"/>
                              <w:lang w:val="lv-LV"/>
                            </w:rPr>
                            <w:t>@zm.gov.lv, www.zm.gov.lv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2049" type="#_x0000_t202" style="width:459.75pt;height:24.75pt;margin-top:159.9pt;margin-left:92.2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54144" filled="f" stroked="f">
              <v:textbox inset="0,0,0,0">
                <w:txbxContent>
                  <w:p w:rsidR="00B272D8" w:rsidRPr="00FF0532" w:rsidP="00E24ADA" w14:paraId="35587D1C" w14:textId="77777777">
                    <w:pPr>
                      <w:spacing w:line="194" w:lineRule="exact"/>
                      <w:ind w:left="23" w:right="-45" w:firstLine="0"/>
                      <w:jc w:val="center"/>
                      <w:rPr>
                        <w:rFonts w:eastAsia="Times New Roman"/>
                        <w:sz w:val="17"/>
                        <w:szCs w:val="17"/>
                        <w:lang w:val="lv-LV"/>
                      </w:rPr>
                    </w:pPr>
                    <w:r w:rsidRPr="00FF0532">
                      <w:rPr>
                        <w:rFonts w:eastAsia="Times New Roman"/>
                        <w:color w:val="231F20"/>
                        <w:sz w:val="17"/>
                        <w:szCs w:val="17"/>
                        <w:lang w:val="lv-LV"/>
                      </w:rPr>
                      <w:t>Republikas laukums 2, Rīga, LV-</w:t>
                    </w:r>
                    <w:r>
                      <w:rPr>
                        <w:rFonts w:eastAsia="Times New Roman"/>
                        <w:color w:val="231F20"/>
                        <w:sz w:val="17"/>
                        <w:szCs w:val="17"/>
                        <w:lang w:val="lv-LV"/>
                      </w:rPr>
                      <w:t>1981</w:t>
                    </w:r>
                    <w:r w:rsidRPr="00FF0532">
                      <w:rPr>
                        <w:rFonts w:eastAsia="Times New Roman"/>
                        <w:color w:val="231F20"/>
                        <w:sz w:val="17"/>
                        <w:szCs w:val="17"/>
                        <w:lang w:val="lv-LV"/>
                      </w:rPr>
                      <w:t xml:space="preserve">, tālr. 67027010, fakss 67027512, e-pasts </w:t>
                    </w:r>
                    <w:r>
                      <w:rPr>
                        <w:rFonts w:eastAsia="Times New Roman"/>
                        <w:color w:val="231F20"/>
                        <w:sz w:val="17"/>
                        <w:szCs w:val="17"/>
                        <w:lang w:val="lv-LV"/>
                      </w:rPr>
                      <w:t>pasts</w:t>
                    </w:r>
                    <w:r w:rsidRPr="00FF0532">
                      <w:rPr>
                        <w:rFonts w:eastAsia="Times New Roman"/>
                        <w:color w:val="231F20"/>
                        <w:sz w:val="17"/>
                        <w:szCs w:val="17"/>
                        <w:lang w:val="lv-LV"/>
                      </w:rPr>
                      <w:t>@zm.gov.lv</w:t>
                    </w:r>
                    <w:r w:rsidRPr="00FF0532">
                      <w:rPr>
                        <w:rFonts w:eastAsia="Times New Roman"/>
                        <w:color w:val="231F20"/>
                        <w:sz w:val="17"/>
                        <w:szCs w:val="17"/>
                        <w:lang w:val="lv-LV"/>
                      </w:rPr>
                      <w:t xml:space="preserve">, </w:t>
                    </w:r>
                    <w:r w:rsidRPr="00FF0532">
                      <w:rPr>
                        <w:rFonts w:eastAsia="Times New Roman"/>
                        <w:color w:val="231F20"/>
                        <w:sz w:val="17"/>
                        <w:szCs w:val="17"/>
                        <w:lang w:val="lv-LV"/>
                      </w:rPr>
                      <w:t>www.zm.gov.lv</w:t>
                    </w:r>
                  </w:p>
                </w:txbxContent>
              </v:textbox>
            </v:shape>
          </w:pict>
        </mc:Fallback>
      </mc:AlternateContent>
    </w:r>
    <w:r w:rsidRPr="00FF0532">
      <w:rPr>
        <w:noProof/>
        <w:lang w:val="lv-LV" w:eastAsia="lv-LV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22225" b="17780"/>
              <wp:wrapNone/>
              <wp:docPr id="6" name="Group 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>
                      <wps:cNvPr id="7" name="Freeform 42"/>
                      <wps:cNvSpPr/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/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anchor="t" anchorCtr="0" upright="1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group id="Group 41" o:spid="_x0000_s2050" style="width:346.25pt;height:0.1pt;margin-top:149.85pt;margin-left:145.7pt;mso-position-horizontal-relative:page;mso-position-vertical-relative:page;position:absolute;z-index:-251656192" coordorigin="2915,2998" coordsize="6926,2">
              <v:shape id="Freeform 42" o:spid="_x0000_s2051" style="width:6926;height:2;left:2915;mso-wrap-style:square;position:absolute;top:2998;visibility:visible;v-text-anchor:top" coordsize="6926,2" path="m,l6926,e" filled="f" strokecolor="#231f20" strokeweight="0.25pt"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1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1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1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1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1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1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1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1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1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1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1">
    <w:nsid w:val="0044667F"/>
    <w:multiLevelType w:val="hybridMultilevel"/>
    <w:tmpl w:val="A5149FC2"/>
    <w:lvl w:ilvl="0" w:tplc="C2607400">
      <w:start w:val="1"/>
      <w:numFmt w:val="decimal"/>
      <w:lvlText w:val="%1."/>
      <w:lvlJc w:val="left"/>
      <w:pPr>
        <w:ind w:left="720" w:hanging="360"/>
      </w:pPr>
    </w:lvl>
    <w:lvl w:ilvl="1" w:tplc="7DEAE39C">
      <w:start w:val="1"/>
      <w:numFmt w:val="lowerLetter"/>
      <w:lvlText w:val="%2."/>
      <w:lvlJc w:val="left"/>
      <w:pPr>
        <w:ind w:left="1440" w:hanging="360"/>
      </w:pPr>
    </w:lvl>
    <w:lvl w:ilvl="2" w:tplc="63727642">
      <w:start w:val="1"/>
      <w:numFmt w:val="lowerRoman"/>
      <w:lvlText w:val="%3."/>
      <w:lvlJc w:val="right"/>
      <w:pPr>
        <w:ind w:left="2160" w:hanging="180"/>
      </w:pPr>
    </w:lvl>
    <w:lvl w:ilvl="3" w:tplc="22FA4A7E">
      <w:start w:val="1"/>
      <w:numFmt w:val="decimal"/>
      <w:lvlText w:val="%4."/>
      <w:lvlJc w:val="left"/>
      <w:pPr>
        <w:ind w:left="2880" w:hanging="360"/>
      </w:pPr>
    </w:lvl>
    <w:lvl w:ilvl="4" w:tplc="3586A982">
      <w:start w:val="1"/>
      <w:numFmt w:val="lowerLetter"/>
      <w:lvlText w:val="%5."/>
      <w:lvlJc w:val="left"/>
      <w:pPr>
        <w:ind w:left="3600" w:hanging="360"/>
      </w:pPr>
    </w:lvl>
    <w:lvl w:ilvl="5" w:tplc="57246F26">
      <w:start w:val="1"/>
      <w:numFmt w:val="lowerRoman"/>
      <w:lvlText w:val="%6."/>
      <w:lvlJc w:val="right"/>
      <w:pPr>
        <w:ind w:left="4320" w:hanging="180"/>
      </w:pPr>
    </w:lvl>
    <w:lvl w:ilvl="6" w:tplc="8F380128">
      <w:start w:val="1"/>
      <w:numFmt w:val="decimal"/>
      <w:lvlText w:val="%7."/>
      <w:lvlJc w:val="left"/>
      <w:pPr>
        <w:ind w:left="5040" w:hanging="360"/>
      </w:pPr>
    </w:lvl>
    <w:lvl w:ilvl="7" w:tplc="B3A44DD0">
      <w:start w:val="1"/>
      <w:numFmt w:val="lowerLetter"/>
      <w:lvlText w:val="%8."/>
      <w:lvlJc w:val="left"/>
      <w:pPr>
        <w:ind w:left="5760" w:hanging="360"/>
      </w:pPr>
    </w:lvl>
    <w:lvl w:ilvl="8" w:tplc="8DB28E46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0D1F009E"/>
    <w:multiLevelType w:val="hybridMultilevel"/>
    <w:tmpl w:val="1736F540"/>
    <w:lvl w:ilvl="0" w:tplc="BF84A6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0CA3342" w:tentative="1">
      <w:start w:val="1"/>
      <w:numFmt w:val="lowerLetter"/>
      <w:lvlText w:val="%2."/>
      <w:lvlJc w:val="left"/>
      <w:pPr>
        <w:ind w:left="2160" w:hanging="360"/>
      </w:pPr>
    </w:lvl>
    <w:lvl w:ilvl="2" w:tplc="FBD834E0" w:tentative="1">
      <w:start w:val="1"/>
      <w:numFmt w:val="lowerRoman"/>
      <w:lvlText w:val="%3."/>
      <w:lvlJc w:val="right"/>
      <w:pPr>
        <w:ind w:left="2880" w:hanging="180"/>
      </w:pPr>
    </w:lvl>
    <w:lvl w:ilvl="3" w:tplc="07909342" w:tentative="1">
      <w:start w:val="1"/>
      <w:numFmt w:val="decimal"/>
      <w:lvlText w:val="%4."/>
      <w:lvlJc w:val="left"/>
      <w:pPr>
        <w:ind w:left="3600" w:hanging="360"/>
      </w:pPr>
    </w:lvl>
    <w:lvl w:ilvl="4" w:tplc="ED9C14D6" w:tentative="1">
      <w:start w:val="1"/>
      <w:numFmt w:val="lowerLetter"/>
      <w:lvlText w:val="%5."/>
      <w:lvlJc w:val="left"/>
      <w:pPr>
        <w:ind w:left="4320" w:hanging="360"/>
      </w:pPr>
    </w:lvl>
    <w:lvl w:ilvl="5" w:tplc="DD580984" w:tentative="1">
      <w:start w:val="1"/>
      <w:numFmt w:val="lowerRoman"/>
      <w:lvlText w:val="%6."/>
      <w:lvlJc w:val="right"/>
      <w:pPr>
        <w:ind w:left="5040" w:hanging="180"/>
      </w:pPr>
    </w:lvl>
    <w:lvl w:ilvl="6" w:tplc="8F645916" w:tentative="1">
      <w:start w:val="1"/>
      <w:numFmt w:val="decimal"/>
      <w:lvlText w:val="%7."/>
      <w:lvlJc w:val="left"/>
      <w:pPr>
        <w:ind w:left="5760" w:hanging="360"/>
      </w:pPr>
    </w:lvl>
    <w:lvl w:ilvl="7" w:tplc="37087AEA" w:tentative="1">
      <w:start w:val="1"/>
      <w:numFmt w:val="lowerLetter"/>
      <w:lvlText w:val="%8."/>
      <w:lvlJc w:val="left"/>
      <w:pPr>
        <w:ind w:left="6480" w:hanging="360"/>
      </w:pPr>
    </w:lvl>
    <w:lvl w:ilvl="8" w:tplc="EF6832CE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1">
    <w:nsid w:val="2C961F8C"/>
    <w:multiLevelType w:val="multilevel"/>
    <w:tmpl w:val="C6C6225E"/>
    <w:lvl w:ilvl="0">
      <w:start w:val="18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1560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eastAsia="Times New Roman" w:hint="default"/>
      </w:rPr>
    </w:lvl>
  </w:abstractNum>
  <w:abstractNum w:abstractNumId="14" w15:restartNumberingAfterBreak="1">
    <w:nsid w:val="2D572554"/>
    <w:multiLevelType w:val="hybridMultilevel"/>
    <w:tmpl w:val="9F92300E"/>
    <w:lvl w:ilvl="0" w:tplc="8BB4085A">
      <w:start w:val="1"/>
      <w:numFmt w:val="decimal"/>
      <w:lvlText w:val="%1."/>
      <w:lvlJc w:val="left"/>
      <w:pPr>
        <w:ind w:left="720" w:hanging="360"/>
      </w:pPr>
    </w:lvl>
    <w:lvl w:ilvl="1" w:tplc="C464ABC6" w:tentative="1">
      <w:start w:val="1"/>
      <w:numFmt w:val="lowerLetter"/>
      <w:lvlText w:val="%2."/>
      <w:lvlJc w:val="left"/>
      <w:pPr>
        <w:ind w:left="1440" w:hanging="360"/>
      </w:pPr>
    </w:lvl>
    <w:lvl w:ilvl="2" w:tplc="7C100A8C" w:tentative="1">
      <w:start w:val="1"/>
      <w:numFmt w:val="lowerRoman"/>
      <w:lvlText w:val="%3."/>
      <w:lvlJc w:val="right"/>
      <w:pPr>
        <w:ind w:left="2160" w:hanging="180"/>
      </w:pPr>
    </w:lvl>
    <w:lvl w:ilvl="3" w:tplc="1986830A" w:tentative="1">
      <w:start w:val="1"/>
      <w:numFmt w:val="decimal"/>
      <w:lvlText w:val="%4."/>
      <w:lvlJc w:val="left"/>
      <w:pPr>
        <w:ind w:left="2880" w:hanging="360"/>
      </w:pPr>
    </w:lvl>
    <w:lvl w:ilvl="4" w:tplc="903CFAFE" w:tentative="1">
      <w:start w:val="1"/>
      <w:numFmt w:val="lowerLetter"/>
      <w:lvlText w:val="%5."/>
      <w:lvlJc w:val="left"/>
      <w:pPr>
        <w:ind w:left="3600" w:hanging="360"/>
      </w:pPr>
    </w:lvl>
    <w:lvl w:ilvl="5" w:tplc="7EBA1DDC" w:tentative="1">
      <w:start w:val="1"/>
      <w:numFmt w:val="lowerRoman"/>
      <w:lvlText w:val="%6."/>
      <w:lvlJc w:val="right"/>
      <w:pPr>
        <w:ind w:left="4320" w:hanging="180"/>
      </w:pPr>
    </w:lvl>
    <w:lvl w:ilvl="6" w:tplc="E5C8BA2C" w:tentative="1">
      <w:start w:val="1"/>
      <w:numFmt w:val="decimal"/>
      <w:lvlText w:val="%7."/>
      <w:lvlJc w:val="left"/>
      <w:pPr>
        <w:ind w:left="5040" w:hanging="360"/>
      </w:pPr>
    </w:lvl>
    <w:lvl w:ilvl="7" w:tplc="C954357C" w:tentative="1">
      <w:start w:val="1"/>
      <w:numFmt w:val="lowerLetter"/>
      <w:lvlText w:val="%8."/>
      <w:lvlJc w:val="left"/>
      <w:pPr>
        <w:ind w:left="5760" w:hanging="360"/>
      </w:pPr>
    </w:lvl>
    <w:lvl w:ilvl="8" w:tplc="57967C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1">
    <w:nsid w:val="396E66B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1">
    <w:nsid w:val="4F067234"/>
    <w:multiLevelType w:val="hybridMultilevel"/>
    <w:tmpl w:val="23B40388"/>
    <w:lvl w:ilvl="0" w:tplc="21681C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E768A00" w:tentative="1">
      <w:start w:val="1"/>
      <w:numFmt w:val="lowerLetter"/>
      <w:lvlText w:val="%2."/>
      <w:lvlJc w:val="left"/>
      <w:pPr>
        <w:ind w:left="1440" w:hanging="360"/>
      </w:pPr>
    </w:lvl>
    <w:lvl w:ilvl="2" w:tplc="BABAEFB4" w:tentative="1">
      <w:start w:val="1"/>
      <w:numFmt w:val="lowerRoman"/>
      <w:lvlText w:val="%3."/>
      <w:lvlJc w:val="right"/>
      <w:pPr>
        <w:ind w:left="2160" w:hanging="180"/>
      </w:pPr>
    </w:lvl>
    <w:lvl w:ilvl="3" w:tplc="51522952" w:tentative="1">
      <w:start w:val="1"/>
      <w:numFmt w:val="decimal"/>
      <w:lvlText w:val="%4."/>
      <w:lvlJc w:val="left"/>
      <w:pPr>
        <w:ind w:left="2880" w:hanging="360"/>
      </w:pPr>
    </w:lvl>
    <w:lvl w:ilvl="4" w:tplc="9B6E528C" w:tentative="1">
      <w:start w:val="1"/>
      <w:numFmt w:val="lowerLetter"/>
      <w:lvlText w:val="%5."/>
      <w:lvlJc w:val="left"/>
      <w:pPr>
        <w:ind w:left="3600" w:hanging="360"/>
      </w:pPr>
    </w:lvl>
    <w:lvl w:ilvl="5" w:tplc="1FE62294" w:tentative="1">
      <w:start w:val="1"/>
      <w:numFmt w:val="lowerRoman"/>
      <w:lvlText w:val="%6."/>
      <w:lvlJc w:val="right"/>
      <w:pPr>
        <w:ind w:left="4320" w:hanging="180"/>
      </w:pPr>
    </w:lvl>
    <w:lvl w:ilvl="6" w:tplc="EC947C12" w:tentative="1">
      <w:start w:val="1"/>
      <w:numFmt w:val="decimal"/>
      <w:lvlText w:val="%7."/>
      <w:lvlJc w:val="left"/>
      <w:pPr>
        <w:ind w:left="5040" w:hanging="360"/>
      </w:pPr>
    </w:lvl>
    <w:lvl w:ilvl="7" w:tplc="4FC0F158" w:tentative="1">
      <w:start w:val="1"/>
      <w:numFmt w:val="lowerLetter"/>
      <w:lvlText w:val="%8."/>
      <w:lvlJc w:val="left"/>
      <w:pPr>
        <w:ind w:left="5760" w:hanging="360"/>
      </w:pPr>
    </w:lvl>
    <w:lvl w:ilvl="8" w:tplc="6AB878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1">
    <w:nsid w:val="54BC66DA"/>
    <w:multiLevelType w:val="hybridMultilevel"/>
    <w:tmpl w:val="C1F66E8E"/>
    <w:lvl w:ilvl="0" w:tplc="11C6307C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9532053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B8E97A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102206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7D4602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9782E3C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132F87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F46187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D14B64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1">
    <w:nsid w:val="63447280"/>
    <w:multiLevelType w:val="hybridMultilevel"/>
    <w:tmpl w:val="F6082F4A"/>
    <w:lvl w:ilvl="0" w:tplc="869463E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F6D04AD0">
      <w:start w:val="1"/>
      <w:numFmt w:val="lowerLetter"/>
      <w:lvlText w:val="%2."/>
      <w:lvlJc w:val="left"/>
      <w:pPr>
        <w:ind w:left="1800" w:hanging="360"/>
      </w:pPr>
    </w:lvl>
    <w:lvl w:ilvl="2" w:tplc="6D28056A" w:tentative="1">
      <w:start w:val="1"/>
      <w:numFmt w:val="lowerRoman"/>
      <w:lvlText w:val="%3."/>
      <w:lvlJc w:val="right"/>
      <w:pPr>
        <w:ind w:left="2520" w:hanging="180"/>
      </w:pPr>
    </w:lvl>
    <w:lvl w:ilvl="3" w:tplc="2A94C610" w:tentative="1">
      <w:start w:val="1"/>
      <w:numFmt w:val="decimal"/>
      <w:lvlText w:val="%4."/>
      <w:lvlJc w:val="left"/>
      <w:pPr>
        <w:ind w:left="3240" w:hanging="360"/>
      </w:pPr>
    </w:lvl>
    <w:lvl w:ilvl="4" w:tplc="FDDCA838" w:tentative="1">
      <w:start w:val="1"/>
      <w:numFmt w:val="lowerLetter"/>
      <w:lvlText w:val="%5."/>
      <w:lvlJc w:val="left"/>
      <w:pPr>
        <w:ind w:left="3960" w:hanging="360"/>
      </w:pPr>
    </w:lvl>
    <w:lvl w:ilvl="5" w:tplc="006ECEE6" w:tentative="1">
      <w:start w:val="1"/>
      <w:numFmt w:val="lowerRoman"/>
      <w:lvlText w:val="%6."/>
      <w:lvlJc w:val="right"/>
      <w:pPr>
        <w:ind w:left="4680" w:hanging="180"/>
      </w:pPr>
    </w:lvl>
    <w:lvl w:ilvl="6" w:tplc="E2D0EAC8" w:tentative="1">
      <w:start w:val="1"/>
      <w:numFmt w:val="decimal"/>
      <w:lvlText w:val="%7."/>
      <w:lvlJc w:val="left"/>
      <w:pPr>
        <w:ind w:left="5400" w:hanging="360"/>
      </w:pPr>
    </w:lvl>
    <w:lvl w:ilvl="7" w:tplc="9436583C" w:tentative="1">
      <w:start w:val="1"/>
      <w:numFmt w:val="lowerLetter"/>
      <w:lvlText w:val="%8."/>
      <w:lvlJc w:val="left"/>
      <w:pPr>
        <w:ind w:left="6120" w:hanging="360"/>
      </w:pPr>
    </w:lvl>
    <w:lvl w:ilvl="8" w:tplc="5A6C4F8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1">
    <w:nsid w:val="63FE5329"/>
    <w:multiLevelType w:val="hybridMultilevel"/>
    <w:tmpl w:val="6EECD546"/>
    <w:lvl w:ilvl="0" w:tplc="66B828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BC7C98F0" w:tentative="1">
      <w:start w:val="1"/>
      <w:numFmt w:val="lowerLetter"/>
      <w:lvlText w:val="%2."/>
      <w:lvlJc w:val="left"/>
      <w:pPr>
        <w:ind w:left="1800" w:hanging="360"/>
      </w:pPr>
    </w:lvl>
    <w:lvl w:ilvl="2" w:tplc="A4D05388" w:tentative="1">
      <w:start w:val="1"/>
      <w:numFmt w:val="lowerRoman"/>
      <w:lvlText w:val="%3."/>
      <w:lvlJc w:val="right"/>
      <w:pPr>
        <w:ind w:left="2520" w:hanging="180"/>
      </w:pPr>
    </w:lvl>
    <w:lvl w:ilvl="3" w:tplc="0FB28BAC" w:tentative="1">
      <w:start w:val="1"/>
      <w:numFmt w:val="decimal"/>
      <w:lvlText w:val="%4."/>
      <w:lvlJc w:val="left"/>
      <w:pPr>
        <w:ind w:left="3240" w:hanging="360"/>
      </w:pPr>
    </w:lvl>
    <w:lvl w:ilvl="4" w:tplc="DA14E39A" w:tentative="1">
      <w:start w:val="1"/>
      <w:numFmt w:val="lowerLetter"/>
      <w:lvlText w:val="%5."/>
      <w:lvlJc w:val="left"/>
      <w:pPr>
        <w:ind w:left="3960" w:hanging="360"/>
      </w:pPr>
    </w:lvl>
    <w:lvl w:ilvl="5" w:tplc="100CEA1E" w:tentative="1">
      <w:start w:val="1"/>
      <w:numFmt w:val="lowerRoman"/>
      <w:lvlText w:val="%6."/>
      <w:lvlJc w:val="right"/>
      <w:pPr>
        <w:ind w:left="4680" w:hanging="180"/>
      </w:pPr>
    </w:lvl>
    <w:lvl w:ilvl="6" w:tplc="2F288888" w:tentative="1">
      <w:start w:val="1"/>
      <w:numFmt w:val="decimal"/>
      <w:lvlText w:val="%7."/>
      <w:lvlJc w:val="left"/>
      <w:pPr>
        <w:ind w:left="5400" w:hanging="360"/>
      </w:pPr>
    </w:lvl>
    <w:lvl w:ilvl="7" w:tplc="5D18CACA" w:tentative="1">
      <w:start w:val="1"/>
      <w:numFmt w:val="lowerLetter"/>
      <w:lvlText w:val="%8."/>
      <w:lvlJc w:val="left"/>
      <w:pPr>
        <w:ind w:left="6120" w:hanging="360"/>
      </w:pPr>
    </w:lvl>
    <w:lvl w:ilvl="8" w:tplc="4860EC4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1">
    <w:nsid w:val="675878C9"/>
    <w:multiLevelType w:val="hybridMultilevel"/>
    <w:tmpl w:val="074AF92A"/>
    <w:lvl w:ilvl="0" w:tplc="C87CCC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725FCE" w:tentative="1">
      <w:start w:val="1"/>
      <w:numFmt w:val="lowerLetter"/>
      <w:lvlText w:val="%2."/>
      <w:lvlJc w:val="left"/>
      <w:pPr>
        <w:ind w:left="1440" w:hanging="360"/>
      </w:pPr>
    </w:lvl>
    <w:lvl w:ilvl="2" w:tplc="D286E55C" w:tentative="1">
      <w:start w:val="1"/>
      <w:numFmt w:val="lowerRoman"/>
      <w:lvlText w:val="%3."/>
      <w:lvlJc w:val="right"/>
      <w:pPr>
        <w:ind w:left="2160" w:hanging="180"/>
      </w:pPr>
    </w:lvl>
    <w:lvl w:ilvl="3" w:tplc="A84AD1DE" w:tentative="1">
      <w:start w:val="1"/>
      <w:numFmt w:val="decimal"/>
      <w:lvlText w:val="%4."/>
      <w:lvlJc w:val="left"/>
      <w:pPr>
        <w:ind w:left="2880" w:hanging="360"/>
      </w:pPr>
    </w:lvl>
    <w:lvl w:ilvl="4" w:tplc="B7F6DCF8" w:tentative="1">
      <w:start w:val="1"/>
      <w:numFmt w:val="lowerLetter"/>
      <w:lvlText w:val="%5."/>
      <w:lvlJc w:val="left"/>
      <w:pPr>
        <w:ind w:left="3600" w:hanging="360"/>
      </w:pPr>
    </w:lvl>
    <w:lvl w:ilvl="5" w:tplc="9362A990" w:tentative="1">
      <w:start w:val="1"/>
      <w:numFmt w:val="lowerRoman"/>
      <w:lvlText w:val="%6."/>
      <w:lvlJc w:val="right"/>
      <w:pPr>
        <w:ind w:left="4320" w:hanging="180"/>
      </w:pPr>
    </w:lvl>
    <w:lvl w:ilvl="6" w:tplc="72EEB702" w:tentative="1">
      <w:start w:val="1"/>
      <w:numFmt w:val="decimal"/>
      <w:lvlText w:val="%7."/>
      <w:lvlJc w:val="left"/>
      <w:pPr>
        <w:ind w:left="5040" w:hanging="360"/>
      </w:pPr>
    </w:lvl>
    <w:lvl w:ilvl="7" w:tplc="5D78547A" w:tentative="1">
      <w:start w:val="1"/>
      <w:numFmt w:val="lowerLetter"/>
      <w:lvlText w:val="%8."/>
      <w:lvlJc w:val="left"/>
      <w:pPr>
        <w:ind w:left="5760" w:hanging="360"/>
      </w:pPr>
    </w:lvl>
    <w:lvl w:ilvl="8" w:tplc="425C49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1">
    <w:nsid w:val="6EB43C3F"/>
    <w:multiLevelType w:val="hybridMultilevel"/>
    <w:tmpl w:val="455EA1BA"/>
    <w:lvl w:ilvl="0" w:tplc="A0CAF0A6">
      <w:start w:val="1"/>
      <w:numFmt w:val="decimal"/>
      <w:lvlText w:val="%1."/>
      <w:lvlJc w:val="left"/>
      <w:pPr>
        <w:ind w:left="1140" w:hanging="360"/>
      </w:pPr>
      <w:rPr>
        <w:rFonts w:eastAsia="Calibri" w:hint="default"/>
      </w:rPr>
    </w:lvl>
    <w:lvl w:ilvl="1" w:tplc="B8C63404" w:tentative="1">
      <w:start w:val="1"/>
      <w:numFmt w:val="lowerLetter"/>
      <w:lvlText w:val="%2."/>
      <w:lvlJc w:val="left"/>
      <w:pPr>
        <w:ind w:left="1860" w:hanging="360"/>
      </w:pPr>
    </w:lvl>
    <w:lvl w:ilvl="2" w:tplc="EEE463DC" w:tentative="1">
      <w:start w:val="1"/>
      <w:numFmt w:val="lowerRoman"/>
      <w:lvlText w:val="%3."/>
      <w:lvlJc w:val="right"/>
      <w:pPr>
        <w:ind w:left="2580" w:hanging="180"/>
      </w:pPr>
    </w:lvl>
    <w:lvl w:ilvl="3" w:tplc="8F204132" w:tentative="1">
      <w:start w:val="1"/>
      <w:numFmt w:val="decimal"/>
      <w:lvlText w:val="%4."/>
      <w:lvlJc w:val="left"/>
      <w:pPr>
        <w:ind w:left="3300" w:hanging="360"/>
      </w:pPr>
    </w:lvl>
    <w:lvl w:ilvl="4" w:tplc="8326AAE6" w:tentative="1">
      <w:start w:val="1"/>
      <w:numFmt w:val="lowerLetter"/>
      <w:lvlText w:val="%5."/>
      <w:lvlJc w:val="left"/>
      <w:pPr>
        <w:ind w:left="4020" w:hanging="360"/>
      </w:pPr>
    </w:lvl>
    <w:lvl w:ilvl="5" w:tplc="DA86C9D0" w:tentative="1">
      <w:start w:val="1"/>
      <w:numFmt w:val="lowerRoman"/>
      <w:lvlText w:val="%6."/>
      <w:lvlJc w:val="right"/>
      <w:pPr>
        <w:ind w:left="4740" w:hanging="180"/>
      </w:pPr>
    </w:lvl>
    <w:lvl w:ilvl="6" w:tplc="B29C9E10" w:tentative="1">
      <w:start w:val="1"/>
      <w:numFmt w:val="decimal"/>
      <w:lvlText w:val="%7."/>
      <w:lvlJc w:val="left"/>
      <w:pPr>
        <w:ind w:left="5460" w:hanging="360"/>
      </w:pPr>
    </w:lvl>
    <w:lvl w:ilvl="7" w:tplc="7DB625E2" w:tentative="1">
      <w:start w:val="1"/>
      <w:numFmt w:val="lowerLetter"/>
      <w:lvlText w:val="%8."/>
      <w:lvlJc w:val="left"/>
      <w:pPr>
        <w:ind w:left="6180" w:hanging="360"/>
      </w:pPr>
    </w:lvl>
    <w:lvl w:ilvl="8" w:tplc="9B2C6476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2" w15:restartNumberingAfterBreak="1">
    <w:nsid w:val="70D4414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8"/>
  </w:num>
  <w:num w:numId="13">
    <w:abstractNumId w:val="19"/>
  </w:num>
  <w:num w:numId="14">
    <w:abstractNumId w:val="12"/>
  </w:num>
  <w:num w:numId="15">
    <w:abstractNumId w:val="20"/>
  </w:num>
  <w:num w:numId="16">
    <w:abstractNumId w:val="13"/>
  </w:num>
  <w:num w:numId="17">
    <w:abstractNumId w:val="22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7"/>
  </w:num>
  <w:num w:numId="21">
    <w:abstractNumId w:val="15"/>
  </w:num>
  <w:num w:numId="22">
    <w:abstractNumId w:val="14"/>
  </w:num>
  <w:num w:numId="23">
    <w:abstractNumId w:val="21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D2A"/>
    <w:rsid w:val="00012124"/>
    <w:rsid w:val="0005331E"/>
    <w:rsid w:val="00054663"/>
    <w:rsid w:val="00061440"/>
    <w:rsid w:val="00066EF7"/>
    <w:rsid w:val="0007754A"/>
    <w:rsid w:val="00090A77"/>
    <w:rsid w:val="00096B83"/>
    <w:rsid w:val="000A6373"/>
    <w:rsid w:val="000B265D"/>
    <w:rsid w:val="000B5D60"/>
    <w:rsid w:val="000C6BF6"/>
    <w:rsid w:val="000F29EA"/>
    <w:rsid w:val="0014232D"/>
    <w:rsid w:val="00177EA2"/>
    <w:rsid w:val="001A0B8A"/>
    <w:rsid w:val="001B0A41"/>
    <w:rsid w:val="001B119D"/>
    <w:rsid w:val="001B7254"/>
    <w:rsid w:val="001B7579"/>
    <w:rsid w:val="001C5D76"/>
    <w:rsid w:val="001F45DE"/>
    <w:rsid w:val="00204B71"/>
    <w:rsid w:val="00207076"/>
    <w:rsid w:val="0020745F"/>
    <w:rsid w:val="00212433"/>
    <w:rsid w:val="00221581"/>
    <w:rsid w:val="00243338"/>
    <w:rsid w:val="0025555F"/>
    <w:rsid w:val="0027439C"/>
    <w:rsid w:val="002925AE"/>
    <w:rsid w:val="00297145"/>
    <w:rsid w:val="002B24B6"/>
    <w:rsid w:val="00331CFA"/>
    <w:rsid w:val="0035713A"/>
    <w:rsid w:val="003829B3"/>
    <w:rsid w:val="00383A46"/>
    <w:rsid w:val="00394795"/>
    <w:rsid w:val="0039513F"/>
    <w:rsid w:val="003A0BCF"/>
    <w:rsid w:val="003A203E"/>
    <w:rsid w:val="003E1B61"/>
    <w:rsid w:val="003E5A54"/>
    <w:rsid w:val="003F515F"/>
    <w:rsid w:val="00407F3A"/>
    <w:rsid w:val="00420BFB"/>
    <w:rsid w:val="0043225F"/>
    <w:rsid w:val="00436924"/>
    <w:rsid w:val="00442F01"/>
    <w:rsid w:val="00453A60"/>
    <w:rsid w:val="0046289A"/>
    <w:rsid w:val="004E2C79"/>
    <w:rsid w:val="004E2D2A"/>
    <w:rsid w:val="005220F5"/>
    <w:rsid w:val="00526633"/>
    <w:rsid w:val="00531935"/>
    <w:rsid w:val="005421BB"/>
    <w:rsid w:val="00543CB1"/>
    <w:rsid w:val="0057028D"/>
    <w:rsid w:val="00583A38"/>
    <w:rsid w:val="0059075F"/>
    <w:rsid w:val="005B2192"/>
    <w:rsid w:val="005B6753"/>
    <w:rsid w:val="005C44F0"/>
    <w:rsid w:val="00603D6C"/>
    <w:rsid w:val="00633E72"/>
    <w:rsid w:val="006458AE"/>
    <w:rsid w:val="00652E33"/>
    <w:rsid w:val="00653CEB"/>
    <w:rsid w:val="00672FF8"/>
    <w:rsid w:val="00681A25"/>
    <w:rsid w:val="00691758"/>
    <w:rsid w:val="006A4650"/>
    <w:rsid w:val="006B2CC9"/>
    <w:rsid w:val="00716656"/>
    <w:rsid w:val="00723E3B"/>
    <w:rsid w:val="00732A92"/>
    <w:rsid w:val="00735F73"/>
    <w:rsid w:val="00743D12"/>
    <w:rsid w:val="00745550"/>
    <w:rsid w:val="007461E7"/>
    <w:rsid w:val="007658D2"/>
    <w:rsid w:val="007774A1"/>
    <w:rsid w:val="00781451"/>
    <w:rsid w:val="007869BB"/>
    <w:rsid w:val="007E7C88"/>
    <w:rsid w:val="00803839"/>
    <w:rsid w:val="00850D3C"/>
    <w:rsid w:val="00870C06"/>
    <w:rsid w:val="008908DB"/>
    <w:rsid w:val="008E045C"/>
    <w:rsid w:val="00937638"/>
    <w:rsid w:val="00966E28"/>
    <w:rsid w:val="009713F2"/>
    <w:rsid w:val="009848A4"/>
    <w:rsid w:val="00986D80"/>
    <w:rsid w:val="009C11B3"/>
    <w:rsid w:val="009D34F5"/>
    <w:rsid w:val="009E4FFA"/>
    <w:rsid w:val="009F3849"/>
    <w:rsid w:val="00A5618E"/>
    <w:rsid w:val="00A67885"/>
    <w:rsid w:val="00A71EFF"/>
    <w:rsid w:val="00A925D3"/>
    <w:rsid w:val="00AD0E3C"/>
    <w:rsid w:val="00AD637C"/>
    <w:rsid w:val="00AE3514"/>
    <w:rsid w:val="00B272D8"/>
    <w:rsid w:val="00B41906"/>
    <w:rsid w:val="00BB0E01"/>
    <w:rsid w:val="00BE48FA"/>
    <w:rsid w:val="00BF3851"/>
    <w:rsid w:val="00C50DF1"/>
    <w:rsid w:val="00C73D4B"/>
    <w:rsid w:val="00C86318"/>
    <w:rsid w:val="00CE4A24"/>
    <w:rsid w:val="00CF7771"/>
    <w:rsid w:val="00D112E0"/>
    <w:rsid w:val="00D57B0F"/>
    <w:rsid w:val="00D845FC"/>
    <w:rsid w:val="00DA2E13"/>
    <w:rsid w:val="00DB435F"/>
    <w:rsid w:val="00DB69D0"/>
    <w:rsid w:val="00DC532B"/>
    <w:rsid w:val="00DF3FB4"/>
    <w:rsid w:val="00E0006B"/>
    <w:rsid w:val="00E241B9"/>
    <w:rsid w:val="00E24ADA"/>
    <w:rsid w:val="00E52023"/>
    <w:rsid w:val="00E568CD"/>
    <w:rsid w:val="00E67282"/>
    <w:rsid w:val="00E8116A"/>
    <w:rsid w:val="00EA6035"/>
    <w:rsid w:val="00EB3A90"/>
    <w:rsid w:val="00ED0DA5"/>
    <w:rsid w:val="00F13D69"/>
    <w:rsid w:val="00F259C2"/>
    <w:rsid w:val="00F5021D"/>
    <w:rsid w:val="00F534D3"/>
    <w:rsid w:val="00FA242D"/>
    <w:rsid w:val="00FB1D17"/>
    <w:rsid w:val="00FC0B31"/>
    <w:rsid w:val="00FC25B2"/>
    <w:rsid w:val="00FF0532"/>
    <w:rsid w:val="00FF5E8E"/>
    <w:rsid w:val="00FF635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4AF76E9-C0B5-495F-846A-975717C58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nhideWhenUsed="1"/>
  </w:latentStyles>
  <w:style w:type="paragraph" w:default="1" w:styleId="Normal">
    <w:name w:val="Normal"/>
    <w:qFormat/>
    <w:rsid w:val="00483A7F"/>
    <w:pPr>
      <w:widowControl w:val="0"/>
      <w:ind w:firstLine="720"/>
      <w:jc w:val="both"/>
    </w:pPr>
    <w:rPr>
      <w:rFonts w:ascii="Times New Roman" w:hAnsi="Times New Roman"/>
      <w:sz w:val="24"/>
      <w:szCs w:val="22"/>
      <w:lang w:val="en-US" w:eastAsia="en-US"/>
    </w:rPr>
  </w:style>
  <w:style w:type="paragraph" w:styleId="Heading3">
    <w:name w:val="heading 3"/>
    <w:basedOn w:val="Normal"/>
    <w:link w:val="Heading3Char"/>
    <w:uiPriority w:val="9"/>
    <w:qFormat/>
    <w:rsid w:val="000B5D60"/>
    <w:pPr>
      <w:widowControl/>
      <w:spacing w:before="100" w:beforeAutospacing="1" w:after="100" w:afterAutospacing="1"/>
      <w:ind w:firstLine="0"/>
      <w:jc w:val="left"/>
      <w:outlineLvl w:val="2"/>
    </w:pPr>
    <w:rPr>
      <w:rFonts w:eastAsia="Times New Roman"/>
      <w:b/>
      <w:bCs/>
      <w:sz w:val="27"/>
      <w:szCs w:val="27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52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</w:pPr>
    <w:rPr>
      <w:szCs w:val="21"/>
      <w:lang w:val="lv-LV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character" w:customStyle="1" w:styleId="naisf14ptRakstz">
    <w:name w:val="naisf + 14pt Rakstz."/>
    <w:link w:val="naisf14pt"/>
    <w:locked/>
    <w:rsid w:val="00D74F58"/>
    <w:rPr>
      <w:sz w:val="28"/>
      <w:szCs w:val="24"/>
    </w:rPr>
  </w:style>
  <w:style w:type="paragraph" w:customStyle="1" w:styleId="naisf14pt">
    <w:name w:val="naisf + 14pt"/>
    <w:basedOn w:val="Normal"/>
    <w:link w:val="naisf14ptRakstz"/>
    <w:rsid w:val="00D74F58"/>
    <w:pPr>
      <w:widowControl/>
      <w:ind w:right="57" w:firstLine="709"/>
    </w:pPr>
    <w:rPr>
      <w:sz w:val="28"/>
      <w:szCs w:val="24"/>
      <w:lang w:val="lv-LV" w:eastAsia="lv-LV"/>
    </w:rPr>
  </w:style>
  <w:style w:type="paragraph" w:styleId="NoSpacing">
    <w:name w:val="No Spacing"/>
    <w:uiPriority w:val="1"/>
    <w:qFormat/>
    <w:rsid w:val="00331F1F"/>
    <w:pPr>
      <w:widowControl w:val="0"/>
      <w:jc w:val="both"/>
    </w:pPr>
    <w:rPr>
      <w:rFonts w:ascii="Times New Roman" w:hAnsi="Times New Roman"/>
      <w:sz w:val="24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2662B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0B5D60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tv213">
    <w:name w:val="tv213"/>
    <w:basedOn w:val="Normal"/>
    <w:rsid w:val="000B5D60"/>
    <w:pPr>
      <w:widowControl/>
      <w:spacing w:before="100" w:beforeAutospacing="1" w:after="100" w:afterAutospacing="1"/>
      <w:ind w:firstLine="0"/>
      <w:jc w:val="left"/>
    </w:pPr>
    <w:rPr>
      <w:rFonts w:eastAsia="Times New Roman"/>
      <w:szCs w:val="24"/>
      <w:lang w:val="lv-LV" w:eastAsia="lv-LV"/>
    </w:rPr>
  </w:style>
  <w:style w:type="paragraph" w:customStyle="1" w:styleId="labojumupamats">
    <w:name w:val="labojumu_pamats"/>
    <w:basedOn w:val="Normal"/>
    <w:rsid w:val="000B5D60"/>
    <w:pPr>
      <w:widowControl/>
      <w:spacing w:before="100" w:beforeAutospacing="1" w:after="100" w:afterAutospacing="1"/>
      <w:ind w:firstLine="0"/>
      <w:jc w:val="left"/>
    </w:pPr>
    <w:rPr>
      <w:rFonts w:eastAsia="Times New Roman"/>
      <w:szCs w:val="24"/>
      <w:lang w:val="lv-LV" w:eastAsia="lv-LV"/>
    </w:rPr>
  </w:style>
  <w:style w:type="paragraph" w:customStyle="1" w:styleId="doc-ti">
    <w:name w:val="doc-ti"/>
    <w:basedOn w:val="Normal"/>
    <w:rsid w:val="00F534D3"/>
    <w:pPr>
      <w:widowControl/>
      <w:spacing w:before="100" w:beforeAutospacing="1" w:after="100" w:afterAutospacing="1"/>
      <w:ind w:firstLine="0"/>
      <w:jc w:val="left"/>
    </w:pPr>
    <w:rPr>
      <w:rFonts w:eastAsia="Times New Roman"/>
      <w:szCs w:val="24"/>
      <w:lang w:val="lv-LV" w:eastAsia="lv-LV"/>
    </w:rPr>
  </w:style>
  <w:style w:type="paragraph" w:customStyle="1" w:styleId="Default">
    <w:name w:val="Default"/>
    <w:rsid w:val="003F515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7028D"/>
    <w:rPr>
      <w:i/>
      <w:iCs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2925AE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24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2433"/>
    <w:rPr>
      <w:rFonts w:ascii="Times New Roman" w:hAnsi="Times New Roman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1243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1C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1CFA"/>
    <w:rPr>
      <w:rFonts w:ascii="Times New Roman" w:hAnsi="Times New Roman"/>
      <w:b/>
      <w:bCs/>
      <w:lang w:val="en-US" w:eastAsia="en-US"/>
    </w:rPr>
  </w:style>
  <w:style w:type="paragraph" w:customStyle="1" w:styleId="tvhtml">
    <w:name w:val="tv_html"/>
    <w:basedOn w:val="Normal"/>
    <w:link w:val="tvhtmlChar"/>
    <w:rsid w:val="001B7254"/>
    <w:pPr>
      <w:widowControl/>
      <w:spacing w:before="100" w:beforeAutospacing="1" w:after="100" w:afterAutospacing="1"/>
      <w:ind w:firstLine="0"/>
      <w:jc w:val="left"/>
    </w:pPr>
    <w:rPr>
      <w:rFonts w:eastAsia="Times New Roman"/>
      <w:szCs w:val="24"/>
      <w:lang w:val="lv-LV" w:eastAsia="lv-LV"/>
    </w:rPr>
  </w:style>
  <w:style w:type="character" w:customStyle="1" w:styleId="tvhtmlChar">
    <w:name w:val="tv_html Char"/>
    <w:basedOn w:val="DefaultParagraphFont"/>
    <w:link w:val="tvhtml"/>
    <w:rsid w:val="001B725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atalja.silicka@zm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2938</Words>
  <Characters>1675</Characters>
  <Application>Microsoft Office Word</Application>
  <DocSecurity>0</DocSecurity>
  <Lines>13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</dc:creator>
  <cp:lastModifiedBy>Alvils Strīķeris</cp:lastModifiedBy>
  <cp:revision>2</cp:revision>
  <cp:lastPrinted>2020-08-13T08:36:00Z</cp:lastPrinted>
  <dcterms:created xsi:type="dcterms:W3CDTF">2021-03-19T15:44:00Z</dcterms:created>
  <dcterms:modified xsi:type="dcterms:W3CDTF">2021-03-19T15:44:00Z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