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23-TA-2627: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2011. gada 19. oktobra noteikumos Nr. 823 "Noteikumi par lidlaukā sniegto drošības un glābšanas pasākumu maksu"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(01.11.2023.)</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- 16.02.2024.)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projekta 1.5. apakšpunktu, kas paredz papildināt Ministru kabineta 2011. gada 19. oktobra noteikumus Nr. 823 “Noteikumi par lidlaukā sniegto drošības un glābšanas pasākumu maksu” (turpmāk – Noteikumi Nr. 823) ar 12.</w:t>
            </w:r>
            <w:r w:rsidR="00000000" w:rsidRPr="00000000" w:rsidDel="00000000">
              <w:rPr>
                <w:vertAlign w:val="superscript"/>
                <w:rtl w:val="0"/>
              </w:rPr>
              <w:t xml:space="preserve">1 </w:t>
            </w:r>
            <w:r w:rsidR="00000000" w:rsidRPr="00000000" w:rsidDel="00000000">
              <w:rPr>
                <w:rtl w:val="0"/>
              </w:rPr>
              <w:t xml:space="preserve">punktu, vai papildināt projekta anotāciju ar papildu skaidrojumu, ievērojot iepriekš sniegto Tieslietu ministrijas iebildumu. Papildinot anotāciju ar pamatojumu par likumdevēja paustu pilnvarojumu likumā "Par aviāciju", lūdzam ņemt vērā Satversmes tiesas 2020. gada 28. septembra sprieduma lietā Nr. 2019‑37‑0103 un 2021. gada 14. oktobra sprieduma lietā Nr. 2021‑03‑03 paustās atziņas.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anotācijā ietvertā informācija precizēta. Anotācijas 1.3.punkts - Pašreizējā situācija, problēmas un risinājumi, risinājuma apraksts papildināts ar šādu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aviāciju” 28. panta trešā daļa noteic deleģējumu Ministru kabinetam noteikt maksu par tiesību normā noteiktiem valsts nozīmes civilās aviācijas lidlaukā sniegtajiem pakalpojumiem, kā arī iekasēšanas un izlietošanas kārtību, norādot pakalpojumus, kas ietverti attiecīgajā maksā. Likumdevēja ietvertā deleģējuma ietvaros šobrīd Ministru kabineta  noteikumi paredz samaksas termiņu, taču nenoteic savlaicīga maksājumu veikšanu motivējošus līdzekļus un saistību pastiprinājumus, kas nodrošinātu iespēju iekasēt pienākošās maksas. Lai veicinātu maksājumu savlaicīgu iekasēšanu, projektā nepieciešams precizēt kārtību, kādā valsts akciju sabiedrība saņem tai pienākošos naudas līdzekļus par nodrošināto pakalpojumu un noteikt tiesību piemērot nokavējuma naudu, piemērojot to 0,05 procentu apmērā no laikā nesamaksātā pamatparāda par katru kavējuma dienu.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“Šobrīd spēkā esošais Ministru kabineta 2011. gada 19. oktobra noteikumu Nr. 823 "Noteikumi par lidlaukā sniegto drošības un glābšanas pasākumu maksu" (turpmāk - Noteikumi Nr. 823) 12. punkts noteic, ka “Gaisa pārvadātāji, kuri saņem drošības maksu no pasažieriem, maksājumu par lidostas "Rīga" pakalpojumiem veic 30 dienu laikā pēc rēķina nosūtīšanas. Ja maksājuma termiņš ir sestdiena, svētdiena vai Latvijas Republikas oficiālā svētku diena, maksājumus veic nākamajā darbdienā.”</w:t>
            </w:r>
            <w:r w:rsidR="00000000" w:rsidRPr="00000000" w:rsidDel="00000000">
              <w:rPr>
                <w:i w:val="1"/>
                <w:rtl w:val="0"/>
              </w:rPr>
              <w:t xml:space="preserve">Nokavējuma nauda ieviešama, lai nodrošinātu Noteikumos Nr. 823 ietvertā samaksas termiņa  ievērošanu un savlaicīgu maksas iekasēšanu. Publiskas personas kapitālsabiedrībai ir pienākums rīkoties ar finanšu līdzekļiem lietderīgi, kas, cita starpā, nepieļauj rīcības brīvību atbrīvot gaisa pārvadātāju no samaksas pienākuma vai pagarināt samaksas termiņu, pretēji Noteikumos Nr. 823 noteiktajam termiņam, jo īpaši tādēļ, ka privāto tiesību juridiskas personas rīcība salīdzinošos apstākļos būtu vērtējama līdzīga.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Nokavējuma nauda ieviešama, lai nodrošinātu Noteikumos Nr. 823 ietvertā samaksas termiņa  ievērošanu un savlaicīgu maksas iekasēšanu. Publiskas personas kapitālsabiedrībai ir pienākums rīkoties ar finanšu līdzekļiem lietderīgi, kas, cita starpā, nepieļauj rīcības brīvību atbrīvot gaisa pārvadātāju no samaksas pienākuma vai pagarināt samaksas termiņu, pretēji Noteikumos Nr. 823 noteiktajam termiņam, jo īpaši tādēļ, ka privāto tiesību juridiskas personas rīcība salīdzinošos apstākļos būtu vērtējama līdzīga.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Nokavējuma naudas ietveršana Grozījumos Ministru kabineta noteikumos preventīvi novērš nesavlaicīga maksājuma rašanos un gadījumā, ja maksājuma termiņš tomēr tiek kavēts, nokavējuma naudas piemērošana veicinātu pienākošo maksājumu ātrāku saņemšanu. Tāpat, ja gaisa pārvadātājs kavē samaksu par saņemto pakalpojumu noteiktajā termiņā vai neveic maksājumu pilnā apmērā, nesamaksātajai summai tiek aprēķināta nokavējuma nauda par valsts kapitālsabiedrībai pienākošo naudas summu lietošanu citām vajadzībām nekā to paredz Noteikumi Nr. 823.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- 17.01.2024.)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izvērstāk skaidrot ar noteikumu projekta 4. punktu paredzētās drošības maksas par katru tranzīta un transfēra pasažieri sadales izmaiņas. Proti, lūdzam anotācijas 1.3. sadaļā pamatot ne tikai drošības maksas palielinājumu kā tādu, bet arī izmaiņas drošības maksas par katru tranzīta un transfēra pasažieri sadalē, tostarp norādot, kādu problēmu projekta 4. punkts risina. Aicinām arī anotācijā ietvertos skaidrojumus sasaistīt ar noteikumu projekta vienībām.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anotācijā ietvertā informācija precizēta.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norāda EY, Lidostas izmaksu attiecināšanas metodoloģija atbilst gan Saloniki foruma, gan ICAO vadlīnijām, tomēr vairāki attiecināšanas kritēriji nav aktuāli, tāpēc ir nepieciešams pielāgot sistēmu, atjaunināt attiecināšanas kritērijus un sadalīt pasažieru un drošības pasākumu peļņas centrus pēc pasažieru veida (tiešais, transfēra/tranzīta), lai palielinātu caurspīdību un padarītu attiecināšanas procesu precīzāku. Tādējādi tiek izdalītas Lidostas drošības pakalpojumu nodrošināšanas izmaksas tranzīta un transfēra pasažieriem, kas līdz šim daļēji tika segtas no Ministru kabineta 2017. gada 28. februāra noteikumos Nr. 111 “Noteikumi par valsts akciju sabiedrības “Starptautiskā lidosta “Rīga’” lidlaukā sniegto pakalpojumu maksu” Noteiktās maksas par pasažieru termināļa infrastruktūras izmantošanu tranzīta un transfēra pasažieriem.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- 17.01.2024.)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anotāciju, sniedzot papildu skaidrojumu par likumdevēja pilnvarojumu likumā “Par aviāciju” Ministru kabinetam noteikt gaisa pārvadātājam pienākumu bez viņa iepriekšējas piekrišanas maksāt līgumsodu (nokavējuma naudu) par prettiesiski kavētu saistību izpildi. Tāpat lūdzam papildināt noteikumu projekta anotāciju ar skaidrojumu, kādēļ pienākums gaisa pārvadātājam maksāt līgumsodu (nokavējuma naudu) tiktu noteikts ar Ministru kabineta noteikumiem, atkāpjoties no Civillikumā ietvertā vispārīgā civiltiesību regulējuma. Kā arī lūdzam noteikumu projekta anotācijā sniegt izvērtējumu 5. punktā noteiktā līgumsoda (nokavējuma naudas) samērīgumam un taisnīgumam.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Likumdevējs ar likuma “Par aviāciju” 28. panta trešo daļu pilnvarojis Ministru kabinetu noteikt maksu par šajā normā norādītajiem valsts nozīmes civilās aviācijas lidlaukā sniegtajiem pakalpojumiem, kā arī tās iekasēšanas un izlietošanas kārtību, norādot pakalpojumus, kas ietverti attiecīgajā maksā, un atbrīvojumus no 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5. punkts paredz papildināt Ministru kabineta 2011. gada 19. oktobra noteikumus Nr. 823 “Noteikumi par lidlaukā sniegto drošības un glābšanas pasākumu maksu” (turpmāk – Noteikumi Nr. 823) ar 12.</w:t>
            </w:r>
            <w:r w:rsidR="00000000" w:rsidRPr="00000000" w:rsidDel="00000000">
              <w:rPr>
                <w:vertAlign w:val="superscript"/>
                <w:rtl w:val="0"/>
              </w:rPr>
              <w:t xml:space="preserve">1</w:t>
            </w:r>
            <w:r w:rsidR="00000000" w:rsidRPr="00000000" w:rsidDel="00000000">
              <w:rPr>
                <w:rtl w:val="0"/>
              </w:rPr>
              <w:t xml:space="preserve"> punktu, uzliekot par pienākumu gaisa pārvadātājiem, kuri saņem drošības maksu no pasažieriem, maksāt nokavējuma naudu 0,05 procentu apmērā no laikā nesamaksātā pamatparāda par katru kavējuma dienu.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Minētajā punktā ietvertais jēdziens “nokavējuma nauda” pēc tā juridiskās dabas ir pielīdzināms Civillikuma 1716. pantā definētajam līgumsodam. Tādējādi ar Noteikumiem Nr. 823 gaisa pārvadātājiem bez viņu piekrišanas tiktu noteikts līgumsods par nesavlaicīgu samaksu. Respektīvi, gaisa pārvadātājs, izmantojot lidostu “Rīga” pasažieru pārvadāšanai, akceptētu Noteikumu projektā noteikto pienākumu maksāt līgumsodu par prettiesisku saistību izpildes kavējumu.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nerastos šaubas par to, ka Ministru kabinets, izdodot noteikumu projekta normas, ir ievērojis likumdevēja piešķirto pilnvarojumu likuma “Par aviāciju” 28. panta trešajā daļā, anotācijā jānorāda papildu skaidrojums par to, ka minētajā likuma normā tieši norādīts uz deleģējumu Ministru kabinetam noteikt pakalpojuma saņēmējiem pienākumu maksāt līgumsodu (nokavējuma naudu) par prettiesiski kavētu saistību izpildījumu.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 lidostu “Rīga” un gaisa pārvadātājiem pastāv civiltiesiskas attiecības. Vispārīgo civiltiesību regulējumu Latvijas tiesību sistēmā nosaka Civillikums. Vieni no civiltiesību pamatprincipiem ir privātautonomijas princips un līguma slēgšanas brīvības princips, atbilstoši kuriem tiesību subjekti var brīvi, pēc savas izvēles un ieskatiem veidot savstarpējās civiltiesiskās attiecības, t.sk. brīvi vienoties par tādu saistību pastiprinājumu kā līgumsods.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Vispārīgi ar normatīvo aktu noteikt pienākumu kādai pusei maksāt līgumsodu, neprasot viņa piekrišanu, ir tirgus ekonomikai neraksturīga parādība, tomēr Latvijas normatīvajos aktos ir sastopamas šādas situācijas. Piemēram, Dzelzceļa pārvadājumu likuma 64. un 65. pants. Tomēr šādi gadījumi pārsvarā noteikti ar likumus, tādēļ īpaši svarīgi, pirmkārt, konstatēt likumdevēja dotu pilnvarojumu Ministru kabinetam izdot šādu regulējumu. Otrkārt, sniegt izvērstu skaidrojumu, kādēļ attiecīgajā normatīvajā aktā pieļaujama atkāpšanās no Civillikumā ietvertā vispārīgā civiltiesību regulējuma.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Līgumsodam ir sodīšanas funkcija, un tiesiskajās attiecībās, kurās piemērojami sodoša rakstura tiesiskie līdzekļi, jāievēro no taisnīguma principa atvasinātais soda samērīguma princips. Tas izriet arī no Civillikuma 1717. panta. Proti, līgumsoda mērķis nedrīkst būt iedzīvošanās uz cita tiesisko attiecību dalībnieka rēķina, un tam jābūt samērīgam un taisnīgam. Tāpat Jāņem vērā, ka Civillikuma 1716. panta trešajā daļā noteikta pieaugoša līgumsoda robeža – ne vairāk par 10 procentiem no pamatparāda vai galvenās saistības apmēra.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Pieņemot tādu normatīvo regulējumu par puses pienākumu bez viņa piekrišanas maksāt pieaugošu līgumsodu (nokavējumu naudu), jāveic šā saistību pastiprinājumu samērīguma un taisnīguma izvērtējums.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anotācijā ietvertā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- 15.01.2024.)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Ministru kabineta noteikumu projekta anotācijas 1.3 sadaļu papildināt ar skaidrojumu par pievienotās vērtības nodokļa piemērošanu vai nepiemērošanu noteikumu projektā minētajai drošības maksai, tajā skaitā arī to, vai un kādi normatīvie akti vai nozares regulējums nosaka, ka minētie pakalpojumi ir deleģēti vai ar pilnvarojumu nodoti valsts pārvaldes uzdevumi.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anotācijā ietvertā informācija.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- 17.01.2024.)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noteikumu projektu paredzētā drošības maksas palielināšana ietekmē arī fiziskas personas - izlidojošos pasažierus, kā arī tranzīta un transfēra pasažierus (sk. Noteikumu Nr. 823 4.-6. punktu), lūdzam precizēt anotācijas 2. sadaļu, raksturojot noteikumu projekta ietekmi uz fiziskām personām.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2.1. apakšsadaļa.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- 17.01.2024.)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5.4. sadaļas 1. tabulā ailē par rīcības brīvības izmantošanu minēts: "</w:t>
            </w:r>
            <w:r w:rsidR="00000000" w:rsidRPr="00000000" w:rsidDel="00000000">
              <w:rPr>
                <w:i w:val="1"/>
                <w:rtl w:val="0"/>
              </w:rPr>
              <w:t xml:space="preserve">Noteikumu projekts </w:t>
            </w:r>
            <w:r w:rsidR="00000000" w:rsidRPr="00000000" w:rsidDel="00000000">
              <w:rPr>
                <w:i w:val="1"/>
                <w:u w:val="single"/>
                <w:rtl w:val="0"/>
              </w:rPr>
              <w:t xml:space="preserve">paredz drošības maksu attiecināt arī uz tranzīta un transfēra pasažieriem,</w:t>
            </w:r>
            <w:r w:rsidR="00000000" w:rsidRPr="00000000" w:rsidDel="00000000">
              <w:rPr>
                <w:i w:val="1"/>
                <w:rtl w:val="0"/>
              </w:rPr>
              <w:t xml:space="preserve"> kuri tāpat kā izlidojošie pasažieri saņem minētos pakalpojumus.</w:t>
            </w:r>
            <w:r w:rsidR="00000000" w:rsidRPr="00000000" w:rsidDel="00000000">
              <w:rPr>
                <w:rtl w:val="0"/>
              </w:rPr>
              <w:t xml:space="preserve">" Lūdzam precizēt informāciju, ņemot vērā, ka drošības maksa attiecināma uz tranzīta un transfēra pasažieriem jau atbilstoši pašreizējai Noteikumu Nr. 823 redakcijai (sk. noteikumu 4.2. apakšpunktu), un norādīt aktuālu informāciju par tabulā minētās regulas 5. pantā izmantotās rīcības brīvības izmantošanu projektā. Līdzīgi lūdzam precizēt arī anotācijas 1.3. sadaļā ietvertos skaidrojumus (piemēram: "</w:t>
            </w:r>
            <w:r w:rsidR="00000000" w:rsidRPr="00000000" w:rsidDel="00000000">
              <w:rPr>
                <w:i w:val="1"/>
                <w:u w:val="single"/>
                <w:rtl w:val="0"/>
              </w:rPr>
              <w:t xml:space="preserve">Drošība maksas noteikšana tranzīta un transfēra pasažieriem nepieciešama</w:t>
            </w:r>
            <w:r w:rsidR="00000000" w:rsidRPr="00000000" w:rsidDel="00000000">
              <w:rPr>
                <w:i w:val="1"/>
                <w:rtl w:val="0"/>
              </w:rPr>
              <w:t xml:space="preserve">, lai nepieļautu apdraudējumu gaisa kuģu lidojumu drošuma un drošības  uzraudzības pasākumu veikšanai pietiekošā apmērā.</w:t>
            </w:r>
            <w:r w:rsidR="00000000" w:rsidRPr="00000000" w:rsidDel="00000000">
              <w:rPr>
                <w:rtl w:val="0"/>
              </w:rPr>
              <w:t xml:space="preserve">"). Papildus lūdzam izvērtēt, vai tiešām tabulā minētās regulas 5. pants ieviests visā noteikumu projektā (sk., piemēram, noteikumu projekta 6. punktu), un vai nu precizēt tabulu, norādot konkrētas noteikumu projekta vienības, kurās ieviesta attiecīgā regulas vienība, vai sniegt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anotācijas 5.4. sadaļas 1.tabulā “Tiesību akta projekta atbilstība ES tiesību aktiem” ietvertā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Dalībvalsts ir izvēlējusies tai piešķirto rīcības brīvību izmantot pieņemot noteikumu projektu, kas paredz drošības maksu attiecināt arī uz tranzīta un transfēra pasažieriem, kuri tāpat kā izlidojošie pasažieri saņem minētos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1</w:t>
            </w:r>
            <w:r w:rsidR="00000000" w:rsidRPr="00000000" w:rsidDel="00000000">
              <w:rPr>
                <w:rtl w:val="0"/>
              </w:rPr>
              <w:t xml:space="preserve"> Par maksājuma termiņa kavējumiem gaisa pārvadātājam piemēro nokavējuma naudu 0,05 procentu apmērā no laikā nesamaksātā pamatparāda par katru kavējuma dienu.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grozījumu projekta 1.5. apakšpunktā (noteikumu 12.</w:t>
            </w:r>
            <w:r w:rsidR="00000000" w:rsidRPr="00000000" w:rsidDel="00000000">
              <w:rPr>
                <w:vertAlign w:val="superscript"/>
                <w:rtl w:val="0"/>
              </w:rPr>
              <w:t xml:space="preserve">1</w:t>
            </w:r>
            <w:r w:rsidR="00000000" w:rsidRPr="00000000" w:rsidDel="00000000">
              <w:rPr>
                <w:rtl w:val="0"/>
              </w:rPr>
              <w:t xml:space="preserve"> punkts) noteikt robežu piedzenamās nokavējuma naudas apmēram.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jau iepriekš Tieslietu ministrijas iebildumos norādīto, projektā noteiktā nokavējuma nauda kvalificējama kā līgumsods. Vispārīgi, nosakot šādu maksājuma pienākumu, nepieciešams ievērot, ka personas nedrīkst tikt pakļautas nesamērīgi lielam maksājuma pienākumam ar sodošu raksturu. Tam jo īpaši ir nozīmē konkrētajā gadījumā, jo sankcija par maksājuma termiņa kavējumu noteikta ar normatīvo aktu, nevis pušu savstarpējā darījumā.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Līgumsodam (nokavējuma naudai) sākotnēji ir negatīvu seku drauds par nepienācīgu pienākumu izpildi vai pienākumu neizpildi vispār. Līdz ar to šāda sankcija, kas noteikta normatīvajā aktā vai līgumā, preventīvi novērš iespējamos pārkāpumus. Līgumsodam (nokavējuma naudai) pēc pārkāpuma iestāšanās ir sodīšanas un zaudējumu atlīdzināšanas funkcija. Tiesiskajās attiecībās ar sodoša rakstura tiesisko līdzekļu piemērošanu par vispārēju principu tiesībās ir atzīstams soda samērīguma princips. Nokavējuma naudai šā brīža projekta redakcijā ir izteikti sodošs un faktiski uz iedzīvošanos orientēts raksturs.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Piemērojot projekta 12.</w:t>
            </w:r>
            <w:r w:rsidR="00000000" w:rsidRPr="00000000" w:rsidDel="00000000">
              <w:rPr>
                <w:vertAlign w:val="superscript"/>
                <w:rtl w:val="0"/>
              </w:rPr>
              <w:t xml:space="preserve">1</w:t>
            </w:r>
            <w:r w:rsidR="00000000" w:rsidRPr="00000000" w:rsidDel="00000000">
              <w:rPr>
                <w:rtl w:val="0"/>
              </w:rPr>
              <w:t xml:space="preserve"> punktu burtiski un formāli, piedzenamās nokavējuma naudas apmērs var pieaugt līdz bezgalībai. Ja starp pusēm rastos strīds, tad tiesa, atsaucoties uz Civillikuma 1. pantu, visdrīzāk samazinātu piedzenamās nokavējuma naudas apmēru. Nokavējuma naudas noteikšana procentuālā izteiksmē ir pieļaujama, tomēr ir jābūt saprātīgām robežām šīs summas apmēram.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Likumdevējs Civillikuma 1716. panta trešajā daļā atzinis, ka līgumsods (nokavējuma nauda) par saistību nepienācīgu izpildi vai neizpildīšanu īstā laikā (termiņā) var tikt noteikts pieaugošs, taču kopumā ne vairāk par 10 % no pamatparāda vai galvenās saistības apmēra. Rosinām izmantot minētajā Civillikuma normā paredzēto barjeru sankcijas apmēram grozījumu projekta 11.5. apakšpunktā (noteikumu 12.</w:t>
            </w:r>
            <w:r w:rsidR="00000000" w:rsidRPr="00000000" w:rsidDel="00000000">
              <w:rPr>
                <w:vertAlign w:val="superscript"/>
                <w:rtl w:val="0"/>
              </w:rPr>
              <w:t xml:space="preserve">1</w:t>
            </w:r>
            <w:r w:rsidR="00000000" w:rsidRPr="00000000" w:rsidDel="00000000">
              <w:rPr>
                <w:rtl w:val="0"/>
              </w:rPr>
              <w:t xml:space="preserve">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1</w:t>
            </w:r>
            <w:r w:rsidR="00000000" w:rsidRPr="00000000" w:rsidDel="00000000">
              <w:rPr>
                <w:rtl w:val="0"/>
              </w:rPr>
              <w:t xml:space="preserve"> Par maksājuma termiņa kavējumiem gaisa pārvadātājam piemēro nokavējuma naudu 0,05 procentu apmērā no laikā nesamaksātā pamatparāda par katru kavējuma dienu, taču kopumā ne vairāk par 10 procentiem no pamatparāda.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projekta 1.5. apakšpunkts (noteikumu 12.1. punkts) izteikts sekojošā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“12.1. Par maksājuma termiņa kavējumiem gaisa pārvadātājam piemēro nokavējuma naudu 0,05 procentu apmērā no laikā nesamaksātā pamatparāda par katru kavējuma dienu, taču kopumā ne vairāk par 10 procentiem no pamatparāda.”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precizēta Noteikumu projekta anotācijā ietvertā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1</w:t>
            </w:r>
            <w:r w:rsidR="00000000" w:rsidRPr="00000000" w:rsidDel="00000000">
              <w:rPr>
                <w:rtl w:val="0"/>
              </w:rPr>
              <w:t xml:space="preserve"> Par maksājuma termiņa kavējumiem gaisa pārvadātājam piemēro nokavējuma naudu 0,05 procentu apmērā no laikā nesamaksātā pamatparāda par katru kavējuma dienu, taču kopumā ne vairāk par 10 procentiem no pamatparāda.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Noteikumi stājas spēkā 2024. gada 1. aprīlī.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- 17.01.2024.)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projektu, nevis izsakot jaunā redakcijā Noteikumu Nr. 823 16. punktu (spēkā stāšanās datumu), bet gan pievienojot noteikumu projektam spēkā stāšanās normu. Proti, lūdzam noteikumu projekta 6. punktu izteikt kā 2. punktu šādā redakcijā: "Noteikumi stājas spēkā 2024. gada 1. aprīlī." Vienlaikus lūdzam attiecīgi precizēt noteikumu projekta ievaddaļas un iepriekšējo punktu numerāciju.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16.punkts.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- 16.02.2024.)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aicinām sniegt skaidrojumu par to, kā, ņemot vērā iepriekšējos grozījumus Noteikumos Nr. 823, paredzot projektā drošības maksas palielinājumu, ievērots Noteikumu Nr. 823 10. punkts, kas noteic: "</w:t>
            </w:r>
            <w:r w:rsidR="00000000" w:rsidRPr="00000000" w:rsidDel="00000000">
              <w:rPr>
                <w:i w:val="1"/>
                <w:rtl w:val="0"/>
              </w:rPr>
              <w:t xml:space="preserve">Drošības maksu pārskata reizi trijos gados vai gadījumā, ja pasažieru skaita izmaiņas gadā pārsniedz 15 %, atbilstoši aktuālajam pasažieru skaitam un drošības pakalpojumu izmaksām.</w:t>
            </w:r>
            <w:r w:rsidR="00000000" w:rsidRPr="00000000" w:rsidDel="00000000">
              <w:rPr>
                <w:rtl w:val="0"/>
              </w:rPr>
              <w:t xml:space="preserve">" Izziņā sniegtais skaidrojums, šķiet, attiecas tikai uz daļu no drošības maksas, tādēļ aicinām anotācijā izvērstāk skaidrot 10. punkta ievērošanu, ņemot vērā, ka tas attiecas uz drošības maksas, nevis atsevišķas tās daļas, pārskatīšanu.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anotācijā ietvertā informācija precizēta. Anotācijas 1.3.punkts - Pašreizējā situācija, problēmas un risinājumi, risinājuma apraksts papildināts ar šādu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šim, ievērojot Noteikumu Nr. 823 10. punktu, gan lidosta “Rīga”, gan valsts aģentūras “Civilās aviācijas aģentūra” (turpmāk – CAA) katru gadu pārskata sniegto drošības pakalpojumu  attiecināmās izmaksas un nepieciešamības gadījumā rosina izmaiņas Noteikumos Nr. 823 noteikto maksu daļās.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Nr.823 noteic drošības maksu, kura ietver lidostas “Rīga” nodrošinātos pakalpojumus un CAA nodrošinātos gaisa kuģu lidojumu drošuma un civilās aviācijas drošības uzraudzības nodrošināšanas pasākumus. Noteikumos Nr. 823 minētajām drošības maksu daļām ( CAA un lidostas “Rīga”) ir atšķirīgas saskaņošanas un izmaiņu virzības kārtība. Lidlaukā sniegto pakalpojumu maksas noteikšanas un mainīšanas kārtību nosaka 2011. gada 5. jūlija noteikumi Nr. 540 , saskaņā ar kuriem, lidlaukā sniegto pakalpojumu maksas tiek noteiktas konsultāciju procesā ar lidostas lietotājiem , tas ir,  Lidostas administrācija sagatavo ekonomiski pamatotus priekšlikumus par lidlaukā sniegto pakalpojumu  maksu izmaiņām un ne vēlāk kā četrus mēnešus pirms paredzēto izmaiņu stāšanās spēkā nosūta lidostas lietotājiem saskaņošanai.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Lidosta var rosināt grozījumu Ministru kabineta noteikumos tikai pēc pozitīva lidostas lietotāju saskaņojuma vai gadījumā, ja nav saņemts lietotāju saskaņojums, pēc CAA atzinuma par maksu izmaiņu pamatotību saņemšanas. Lidostas pieredzē lidostas maksu izmaiņu priekšlikuma sagatavošana un  saskaņošanas process ilgst vismaz pusotru gadu, pie nosacījuma, ja lidostas lietotāji ir saskaņojuši izmaiņas lidlaukā sniegto pakalpojumu  maksās.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CAA  drošības maksu daļas apmēri tiek noteikti atbilstoši CAA deleģēto valsts funkciju veikšanai nepieciešamo izmaksu segšanai, ko nosaka Ministru kabineta 2012. gada 11. decembra noteikumi Nr. 842 “Valsts aģentūras "Civilās aviācijas aģentūra" nolikums. Atšķirībā no lidostas, CAA nav jāveic saskaņošanas process ar lidostas lietotājiem, kas nozīmē, ka Noteikumu Nr. 823 10. punktu atšķirīgo maksu daļu noteikšanas principu un saskaņošanas kārtības dēļ, nevar attiecināt uz drošības maksu kā vienotu maksu, bet gan uz drošības maksu daļām.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8. augustā veiktajos Noteikumu Nr. 823 grozījumos tika veiktas izmaiņas pasažieru drošības maksu apmēros, kas attiecas uz CAA pakalpojumu izmaksu segšanu. Drošības maksas daļa, kas tiek attiecināta uz Lidostas “Rīga” sniegtajiem drošības pakalpojumiem nav grozīta kopš Noteikumu Nr. 823 spēkā stāšanās brīža 2012. gadā, kas bijis iespējams pateicoties stabilam pasažieru skaita pieaugumam, kad lidosta “Rīga” ir spējusi nodrošināt attīstību, nepalielinot maksas un strādājot pēc “</w:t>
            </w:r>
            <w:r w:rsidR="00000000" w:rsidRPr="00000000" w:rsidDel="00000000">
              <w:rPr>
                <w:i w:val="1"/>
                <w:rtl w:val="0"/>
              </w:rPr>
              <w:t xml:space="preserve">single till</w:t>
            </w:r>
            <w:r w:rsidR="00000000" w:rsidRPr="00000000" w:rsidDel="00000000">
              <w:rPr>
                <w:rtl w:val="0"/>
              </w:rPr>
              <w:t xml:space="preserve">” jeb vienas kases principa, kad aviācijas izmaksas daļēji tiek kompensētas ar neaviācijas bruto peļņu.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Ministru kabineta 2015. gada 24. augusta rīkojuma Nr. 456 "Par valsts budžeta programmas 44.00.00 "Līdzekļi aviācijas drošības pasākumu nodrošināšanai" 1.2. apakšpunktā noteiktais paredzēja segt valsts akciju sabiedrībai "Starptautiskā lidosta "Rīga"" izdevumus 73 441 euro apmērā lielizmēra bagāžas pārbaudes rentgena iegādei valsts nozīmes civilās aviācijas lidlaukam "Rīga”, turklāt 2015.gada ietvaros, lūdzam svītrot anotācijas 1.3.sadaļā punkta “Vai ir izvērtēti alternatīvie risinājumi? aprakstā norādīto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Svītrota anotācijas 1.3. sadaļas punkta “Vai ir izvērtēti alternatīvie risinājumi?” aprakstā norādītā informācija par Ministru kabineta 2015. gada 24. augusta rīkojuma Nr. 456 "Par valsts budžeta programmas 44.00.00 "Līdzekļi aviācijas drošības pasākumu nodrošināšanai".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- 17.01.2024.)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823 10. punkts paredz:</w:t>
            </w:r>
            <w:r w:rsidR="00000000" w:rsidRPr="00000000" w:rsidDel="00000000">
              <w:rPr>
                <w:i w:val="1"/>
                <w:rtl w:val="0"/>
              </w:rPr>
              <w:t xml:space="preserve"> "Drošības maksu pārskata</w:t>
            </w:r>
            <w:r w:rsidR="00000000" w:rsidRPr="00000000" w:rsidDel="00000000">
              <w:rPr>
                <w:i w:val="1"/>
                <w:u w:val="single"/>
                <w:rtl w:val="0"/>
              </w:rPr>
              <w:t xml:space="preserve"> reizi trijos gados vai gadījumā, ja</w:t>
            </w:r>
            <w:r w:rsidR="00000000" w:rsidRPr="00000000" w:rsidDel="00000000">
              <w:rPr>
                <w:i w:val="1"/>
                <w:rtl w:val="0"/>
              </w:rPr>
              <w:t xml:space="preserve"> pasažieru skaita izmaiņas gadā pārsniedz 15 %, atbilstoši aktuālajam pasažieru skaitam un drošības pakalpojumu izmaksām."</w:t>
            </w:r>
            <w:r w:rsidR="00000000" w:rsidRPr="00000000" w:rsidDel="00000000">
              <w:rPr>
                <w:rtl w:val="0"/>
              </w:rPr>
              <w:t xml:space="preserve"> Kontekstā ar jau iepriekš veiktajiem grozījumiem Noteikumos Nr. 823 aicinām anotācijā skaidrot, kā, paredzot noteikumu projektā drošības maksas palielinājumu, ievērota minētā Noteikumu Nr. 823 norma.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anotācijā ietvertā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Kontekstā ar jau iepriekš veiktajiem grozījumiem: 2023. gada 8. augustā veiktajos Noteikumu Nr. 823 grozījumos tika veiktas izmaiņas pasažieru drošības maksu apmēros, kas attiecas uz Civilās aviācijas aģentūras pakalpojumu izmaksu segšanu. Drošības maksas daļa, kas tiek attiecināta uz Lidostas “Rīga” sniegtajiem drošības pakalpojumiem nav grozīta kopš 2011. gada.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- 16.02.2024.)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anotācijas 2. sadaļā ne tikai norādīt, kādas personas projektā ietvertais regulējums ietekmē vai varētu ietekmēt, bet arī raksturot, </w:t>
            </w:r>
            <w:r w:rsidR="00000000" w:rsidRPr="00000000" w:rsidDel="00000000">
              <w:rPr>
                <w:u w:val="single"/>
                <w:rtl w:val="0"/>
              </w:rPr>
              <w:t xml:space="preserve">kā</w:t>
            </w:r>
            <w:r w:rsidR="00000000" w:rsidRPr="00000000" w:rsidDel="00000000">
              <w:rPr>
                <w:rtl w:val="0"/>
              </w:rPr>
              <w:t xml:space="preserve"> regulējums ietekmē vai varētu ietekmē attiecīgās personas (piemēram, paaugstināta drošības maksa).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noteikumu projekta anotācijas 2.1. sadaļa, Sabiedrības grupas, kuras tiesiskais regulējums ietekmē, vai varētu ietekmēt.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- 16.02.2024.)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aicinām anotācijas 5.3. sadaļā sniegt informāciju par noteikumu projekta atbilstību anotācijas 1.3. sadaļā minētajiem starptautiskajiem dokumentiem (vadlīnijām, rekomendācijām u.tml.).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5.3. sadaļa.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Cita informācija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- 17.01.2024.)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anotācijas 5.3. sadaļā sniegt informāciju par noteikumu projekta atbilstību anotācijas 1.3. sadaļā minētajiem starptautiskajiem dokumentiem (vadlīnijām, rekomendācijām u.tml.).</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5.3. apakšsadaļa.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Cita informācija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- 16.02.2024.)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aicinām precizēt anotācijas 5.4. sadaļas 1. tabulā, kā arī anotācijas 1.3. sadaļā ietvertos skaidrojumus, kuri nepilnīgi raksturo projektā ietverto regulējumu. Piemēram, anotācijas 5.4. sadaļas 1. tabulā minēts: "</w:t>
            </w:r>
            <w:r w:rsidR="00000000" w:rsidRPr="00000000" w:rsidDel="00000000">
              <w:rPr>
                <w:i w:val="1"/>
                <w:rtl w:val="0"/>
              </w:rPr>
              <w:t xml:space="preserve">Noteikumu projekts </w:t>
            </w:r>
            <w:r w:rsidR="00000000" w:rsidRPr="00000000" w:rsidDel="00000000">
              <w:rPr>
                <w:i w:val="1"/>
                <w:u w:val="single"/>
                <w:rtl w:val="0"/>
              </w:rPr>
              <w:t xml:space="preserve">paredz drošības maksu attiecināt</w:t>
            </w:r>
            <w:r w:rsidR="00000000" w:rsidRPr="00000000" w:rsidDel="00000000">
              <w:rPr>
                <w:i w:val="1"/>
                <w:rtl w:val="0"/>
              </w:rPr>
              <w:t xml:space="preserve"> arī uz tranzīta un transfēra pasažieriem, kuri tāpat kā izlidojošie pasažieri saņem minētos pakalpojumus.</w:t>
            </w:r>
            <w:r w:rsidR="00000000" w:rsidRPr="00000000" w:rsidDel="00000000">
              <w:rPr>
                <w:rtl w:val="0"/>
              </w:rPr>
              <w:t xml:space="preserve">" Savukārt anotācijas 1.3. sadaļā minēts: "</w:t>
            </w:r>
            <w:r w:rsidR="00000000" w:rsidRPr="00000000" w:rsidDel="00000000">
              <w:rPr>
                <w:i w:val="1"/>
                <w:rtl w:val="0"/>
              </w:rPr>
              <w:t xml:space="preserve">Drošība maksas </w:t>
            </w:r>
            <w:r w:rsidR="00000000" w:rsidRPr="00000000" w:rsidDel="00000000">
              <w:rPr>
                <w:i w:val="1"/>
                <w:u w:val="single"/>
                <w:rtl w:val="0"/>
              </w:rPr>
              <w:t xml:space="preserve">noteikšana tranzīta un transfēra pasažieriem</w:t>
            </w:r>
            <w:r w:rsidR="00000000" w:rsidRPr="00000000" w:rsidDel="00000000">
              <w:rPr>
                <w:i w:val="1"/>
                <w:rtl w:val="0"/>
              </w:rPr>
              <w:t xml:space="preserve"> nepieciešama, lai nepieļautu apdraudējumu gaisa kuģu lidojumu drošuma un drošības  uzraudzības pasākumu veikšanai pietiekošā apmērā.</w:t>
            </w:r>
            <w:r w:rsidR="00000000" w:rsidRPr="00000000" w:rsidDel="00000000">
              <w:rPr>
                <w:rtl w:val="0"/>
              </w:rPr>
              <w:t xml:space="preserve">" Atkārtoti vēršam uzmanību, ka drošības maksa attiecināma uz tranzīta un transfēra pasažieriem </w:t>
            </w:r>
            <w:r w:rsidR="00000000" w:rsidRPr="00000000" w:rsidDel="00000000">
              <w:rPr>
                <w:u w:val="single"/>
                <w:rtl w:val="0"/>
              </w:rPr>
              <w:t xml:space="preserve">jau saskaņā ar pašreizējo Noteikumu Nr. 823 redakciju</w:t>
            </w:r>
            <w:r w:rsidR="00000000" w:rsidRPr="00000000" w:rsidDel="00000000">
              <w:rPr>
                <w:rtl w:val="0"/>
              </w:rPr>
              <w:t xml:space="preserve"> (sk. noteikumu 4.2. apakšpunktu), un projektā ietvertais regulējums citastarp paredz, ka drošības maksa par tranzīta un transfēra pasažieri tiek palielināta, kā arī tiek precizēta tās sadale starp Civilās aviācijas aģentūru un lidostu "Rīga" (sk. projekta 1.2. un 1.4. apakšpunktu). Attiecīgi aicinām precizēt anotāciju, nodrošinot korektus skaidrojumus par projektā ietverto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atkārtoti aicinām izvērtēt, vai tiešām tabulā minētās regulas 5. pants ieviests visā noteikumu projektā (sk., piemēram, projekta 1.5. apakšpunktu), un vai nu precizēt tabulu, norādot konkrētas projekta vienības, kurās ieviesta attiecīgā regulas vienība, vai sniegt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anotācijā ietvertā informācija precizēta. Anotācijas 1.3. punkts - Pašreizējā situācija, problēmas un risinājumi, risinājuma apraksts papildināts ar šādu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Drošība maksas paaugstināšana tranzīta un transfēra pasažieriem nepieciešama, lai nodrošinātu atbilstošu  gaisa kuģu lidojumu drošuma un drošības  uzraudzības pasākumu veikšanu.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Uzsverams, ka saskaņā ar starptautiski nostiprinātu principu aviācijas tiesībās, kas, cita starpā nostiprināts arī Eiropas parlamenta un Padomes 2008. gada 1. marta regulas (EK) Nr.300/2008 par kopīgiem noteikumiem civilās aviācijas drošības jomā un ar ko atceļ Regulu (EK) Nr.2320/2002 5. pantā (Drošības izmaksas), drošības maksa tiek izmantota vienīgi drošības pasākumu izmaksu segšanai. Minētais princips izriet arī no valsts atbalsta reglamentējošām jomām, jo drošības pasākumu pamatā, kas nodrošina sabiedrības aizsardzību pret nelikumīgu iejaukšanos civilajā aviācijā, nav ekonomiska interese, bet gan valsts pienākums to nodrošināt. Attiecīgi, aviācijas drošību un drošības pasākumu finansēšanai ar drošības maksas palīdzību, kas tiek iekasēta no lidostas lietotājiem, ir jābūt stingri ierobežotai ar izmaksām, kas rodas, nodrošinot drošības pasākumus, jo jebkāda aviācijas drošības pasākumu pārmaksa var radīt risku pārkāpt valsts atbalsta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un precizēta anotācijas projekta 5.4. punkta 1. tabula “Tiesību akta projekta atbilstība ES tiesību aktiem” ar sekojošu redakciju: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Eiropas Parlamenta un Padomes 2008. gada 1. marta regulas (EK) Nr.300/2008 par kopīgiem noteikumiem civilās aviācijas drošības jomā un ar ko atceļ Regulu (EK) Nr.2320/2002 5. pantā (Drošības izmaksas), ietvertā prasība – attiecināt drošības maksu uz nodrošinātā drošības pakalpojuma izmaksām tiek ievērots un pārņemts attiecībā uz visu noteikumu projektu, izņemot Noteikumu projekta 1.5. punktu, kas paredz ieviest nokavējuma naudu.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Noteikumi stājas spēkā 2024. gada 1. aprīlī.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- 16.02.2024.)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projektu un novērst, šķiet, radušos neuzmanības kļūdu. Proti, lūdzam </w:t>
            </w:r>
            <w:r w:rsidR="00000000" w:rsidRPr="00000000" w:rsidDel="00000000">
              <w:rPr>
                <w:u w:val="single"/>
                <w:rtl w:val="0"/>
              </w:rPr>
              <w:t xml:space="preserve">svītrot projekta 1.6. apakšpunktu</w:t>
            </w:r>
            <w:r w:rsidR="00000000" w:rsidRPr="00000000" w:rsidDel="00000000">
              <w:rPr>
                <w:rtl w:val="0"/>
              </w:rPr>
              <w:t xml:space="preserve">, kas paredz svītrot Noteikumu Nr. 823 16. punktu, kas noteic </w:t>
            </w:r>
            <w:r w:rsidR="00000000" w:rsidRPr="00000000" w:rsidDel="00000000">
              <w:rPr>
                <w:u w:val="single"/>
                <w:rtl w:val="0"/>
              </w:rPr>
              <w:t xml:space="preserve">noteikumu spēkā stāšanās datumu</w:t>
            </w:r>
            <w:r w:rsidR="00000000" w:rsidRPr="00000000" w:rsidDel="00000000">
              <w:rPr>
                <w:rtl w:val="0"/>
              </w:rPr>
              <w:t xml:space="preserve"> ("</w:t>
            </w:r>
            <w:r w:rsidR="00000000" w:rsidRPr="00000000" w:rsidDel="00000000">
              <w:rPr>
                <w:i w:val="1"/>
                <w:rtl w:val="0"/>
              </w:rPr>
              <w:t xml:space="preserve">16. Noteikumi stājas spēkā 2012.gada 1.janvārī.</w:t>
            </w:r>
            <w:r w:rsidR="00000000" w:rsidRPr="00000000" w:rsidDel="00000000">
              <w:rPr>
                <w:rtl w:val="0"/>
              </w:rPr>
              <w:t xml:space="preserve">"). Grozījumu projekta spēkā stāšanās jau ir atrisināta ar projekta 2. punktu, kas paredz, ka noteikumi stājas spēkā 2024. gada 1. aprīlī.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precizēta neuzmanības kļūda, svītrojot (izņemot laikā) no Noteikumu projekta 1.6. punktu (“1.6.svītrot 16. punktu”), jo Noteikumu projekta 2.punkts paredz, ka </w:t>
            </w:r>
            <w:r w:rsidR="00000000" w:rsidRPr="00000000" w:rsidDel="00000000">
              <w:rPr>
                <w:i w:val="1"/>
                <w:rtl w:val="0"/>
              </w:rPr>
              <w:t xml:space="preserve">”Noteikumi stājas spēkā 2024. gada 1. aprīlī”</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konsolidētās versijas tiek svītrota norāde “</w:t>
            </w:r>
            <w:r w:rsidR="00000000" w:rsidRPr="00000000" w:rsidDel="00000000">
              <w:rPr>
                <w:i w:val="1"/>
                <w:rtl w:val="0"/>
              </w:rPr>
              <w:t xml:space="preserve">16. (Svītrots)</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23-TA-2627</w:t>
    </w:r>
    <w:r>
      <w:br/>
    </w:r>
    <w:r w:rsidR="00000000" w:rsidRPr="00000000" w:rsidDel="00000000">
      <w:rPr>
        <w:rtl w:val="0"/>
      </w:rPr>
      <w:t xml:space="preserve">28.03.2024. 10.20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23-TA-2627</w:t>
    </w:r>
    <w:r>
      <w:br/>
    </w:r>
    <w:r w:rsidR="00000000" w:rsidRPr="00000000" w:rsidDel="00000000">
      <w:rPr>
        <w:rtl w:val="0"/>
      </w:rPr>
      <w:t xml:space="preserve">28.03.2024. 10.20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Izziņa_23-TA-2627.docx</dc:title>
</cp:coreProperties>
</file>

<file path=docProps/custom.xml><?xml version="1.0" encoding="utf-8"?>
<Properties xmlns="http://schemas.openxmlformats.org/officeDocument/2006/custom-properties" xmlns:vt="http://schemas.openxmlformats.org/officeDocument/2006/docPropsVTypes"/>
</file>