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17. septembra noteikumos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(19.09.2024.)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15.09.2025. 22:03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pašreizējās situācijas pamatojuma 2.punkta skaidri norādīt, ka finansējuma saņēmējam netiek plānoti ieguldījumi infrastruktūrā, lai gan tam būs attiecināmas arī Ministru kabineta 2024. gada 17. septembra noteikumu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 (turpmāk – MK noteikumi Nr. 611) 18.2., 18.3, 18.4.apakšpunktā norādītās izmaksas. Ja tomēr ir plānoti ieguldījumi arī finansējuma saņēmēja infrastruktūrā, lūdzam paredzēt tam papildinošās saimnieciskās darbības uzraudzības nosacījumus. Papildus, lūdzam papildināt pamatojumu, skaidri norādot, kāpēc šādu speciālistu izmaksas nav iespējams finansēt atbilstoši MK noteikumu Nr. 611 18.8.apakšpunktā minētajam, kur finansējuma saņēmējam jau ir paredzētas projekta īstenošanas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1.3. Pašreizējā situācija, problēmas un risinājumi 2. punktā sniegts skaidrojums, ka finansējuma saņēmējam netiek plānoti ieguldījumi infrastruktūrā. Papildus, pamatojums papildināts, norādot, kāpēc šādu speciālistu izmaksas nav iespējams finansēt atbilstoši MK noteikumu Nr. 611 18.8.apakšpunktā minētajam, kur finansējuma saņēmējam jau ir paredzētas projekta īstenošanas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ierosināto grozījumu ietekmi uz īstenošanā esošajiem projektiem, t.i. vai būs nepieciešami grozījumi noslēgtajos līgumos /vienošanās, precīzi atrunājot, ka pēc noteikumu grozījumu spēkā stāšanās Sadarbības iestāde veiks grozījumus noslēgtajā vienošanās ar MK noteikumi Nr. 611 12.punktā minēto finansējum saņēmēju, nevis 13.15.apakšpunktā minēto sadarbības partneri (Rīgas Mākslas un mediju tehnikums). Savukārt finansējuma saņēmējs veiks grozījumus savstarpējā līgumā ar 13.15. apakšpunktā minēto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vai veicamie grozījumi ir būtiski un neietekmē projekta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1.3. Pašreizējā situācija apakšsadaļas Risinājumi 1. punktā sniegta informācija, ka  pēc noteikumu projekta spēkā stāšanās Sadarbības iestāde veiks grozījumus ar MK noteikumu Nr. 611 12. punktā minētā  finansējuma saņēmēja noslēgtajā vienošanās par SAMP 2.1.1.5. projektu īstenošanu 1. pielikumā “Vienošanās vispārējie noteikumi”, ietverot nosacījumus atbilstoši grozījumiem MK noteikumos Nr. 611. Savukārt finansējuma saņēmējs veiks grozījumus savstarpējā līgumā ar 13.15. apakšpunktā minēto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Veicamie grozījumi SAMP 2.1.1.5. MK noteikumu Nr. 611 komercdarbības atbalsta kontroles regulējumā neradīs negatīvu ietekmi projekta Nr. 2.1.1.5/1/24/I/001 mērķu sasniegšanā, bet nodrošinās vienotu pieeju profesionālās vidējās kultūrizglītības iestādēm komercdarbības atbalsta kontroles normu piemērošanai Eiropas Savienības fondu līdzfinansētajos infrastruktūras projektos, atbalstītās infrastruktūras uzraudzībai pamatlīdzekļu un ilgtermiņa ieguldījumu amortizācijas periodā piemērojot kultūras nozares projektiem noteiktos kritērijus saimnieciskās darbības apjomam, kam nav piemērojams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sadarbības partneris nodrošina, ka projekta īstenošanas laikā tiek ievēroti interešu konflikta, korupcijas un krāpšanas novēršanas nosacījumi, un paredz, ka projekta vadībā iesaistītais projekta personāls ir informēts par korupcijas un Eiropas Parlamenta un Padomes 2024. gada 23. septembra Regulas (ES, Euratom) Nr. 2024/2509 par finanšu noteikumiem, ko piemēro Savienības vispārējam budžetam (pārstrādāta redakcija), 61. pantā noteiktajiem interešu konflikta novēršanas jautājumiem, kā arī par krāpšanas pazīmēm un pienākumu ziņot par konstatētajām aizdomām, par ziņotāju aizsardzību atbilstoši Trauksmes celšanas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1.3.sadaļas 7.punktā atbilstoši norādīts, ka Eiropas Parlamenta un Padomes 2024. gada 23. septembra Regulas (ES, Euratom) Nr. 2024/2509 par finanšu noteikumiem, ko piemēro Savienības vispārējam budžetam (pārstrādāta redakcija) (turpmāk - Finanšu regula) 61. 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Ņemot vērā, ka konkrētajā gadījumā atbilstoši specifiskajam atbalsta mērķim netiek īstenots daudzpakāpju projekts un tādējādi Finanšu regulas 61.panta prasības netiek tieši attiecinātas uz finansējuma saņēmēju un sadarbības partneri, lūdzam noteikumu 31.punktā neiekļaut atsauci uz Finanšu regulas 61.pantu.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regulas 61.panta prasības netiek tieši attiecinātas uz finansējuma saņēmēju un sadarbības partneri, tāpēc MK noteikumu Nr. 611 31.punktā tiek dzēsta atsauce uz Finanšu regulas 61.pantu.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projekta īstenošanai nepieciešamo būvdarbu un pakalpojumu iepirkumu veic saskaņā ar normatīvajiem aktiem publisko iepirkumu jomā, īstenojot atklātu, pārredzamu, nediskriminējošu un konkurenci nodrošinošu konkursa procedūru, un nodrošina vides prasību integrāciju preču un pakalpojumu iepirkumos (zaļais publiskais iepirkums), kā arī ir atbalstāms sociāli atbildīgs publiskais iepirkums un inovatīva publiskā iepirkuma piemērošana,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2.1.1.5. pasākuma "Klimata neitrāli risinājumi profesionālās izglītības iestāžu un koledžu izglītības programmās, vidē un infrastruktūrā" ietvaros ieguldījumi ēku energoefektivitātei tiks veikti sadarbības partneru infrastruktūrā, lūdzam precizēt noteikumu 33. punktu, attiecinot tajā noteikto pienākumu par publiskā iepirkuma veikšanu, īstenojot atklātu, pārredzamu, nediskriminējošu un konkurenci nodrošinošu konkursa procedūru, arī uz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prasības par vides prasību integrāciju preču un pakalpojumu iepirkumos (zaļais publiskais iepirkums), kā arī sociāli atbildīga publiskā iepirkuma organizēšana un inovatīva publiskā iepirkuma piemērošana nav obligāta, lūdzam to izteikt noteikumu 33. punktā jaunā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611 33. punkta regulējums attiecināts ne tikai uz finansējuma saņēmēju, bet arī sadarbības partneri, kura infrastruktūrā tiks veikti ieguldījumi.  Ņemot vērā to, ka prasības par vides prasību integrāciju preču un pakalpojumu iepirkumos (zaļais publiskais iepirkums), kā arī sociāli atbildīga publiskā iepirkuma organizēšana un inovatīva publiskā iepirkuma piemērošana nav obligāta, nepārprotamas izpratnes nodrošināšanai tas izteikts MK noteikumu Nr. 611 33. punktā jaunā 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un sadarbības partneris projekta īstenošanai nepieciešamo būvdarbu un pakalpojumu iepirkumu veic saskaņā ar normatīvajiem aktiem publisko iepirkumu jomā, īstenojot atklātu, pārredzamu, nediskriminējošu un konkurenci nodrošinošu konkursa procedūru, un nodrošina vides prasību integrāciju preču un pakalpojumu iepirkumos (zaļais publiskais iepirkums).  Projektā ir  atbalstāms sociāli atbildīgs publiskais iepirkums un inovatīva publiskā iepirkuma piemērošana,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minētajiem nosacījumiem visā projekta dzīves ciklā (10 - 15 gadu robežās). Sadarbības partneris visā projekta dzīves ciklā katru gadu sagatavo pārskatu par papildinošas saimnieciskās darbības apjomu un nodrošina šajā punktā minēto pārskatu un aprēķinus pamatojošo dokumentu pieejamību papildinošas saimnieciskās darbības uzraudzībai. Ja sadarbības partneris konstatē, ka ir pārsniegts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koriģēt pēdējo teikumu atbilstoši faktiskajai situācijai, proti, šī SAM ietvaros sadarbības iestāde ir noslēgusi vienošanos ar finansējuma saņēmēju par projekta īstenošanu, bet ar projekta sadarbības partneriem tai līgumu vai vienošanos nav. Tādējādi informāciju par sadarbības partneru pārkāpumiem attiecībā uz papildinošo saimniecisko darbību sadarbības iestādei ziņo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sadarbības partneris konstatē, ka ir pārsniegts šo noteikumu 39. punktā minētais 20 procentu ierobežojums no infrastruktūras gada jaudas platības, laika vai finanšu izteiksmē vai ka veiktās investīcijas tiek izmantotas citai saimnieciskai darbībai, kas nav uzskatāma par papildinošu saimniecisku darbību, tas informē finansējuma saņēmēju, kurš vienošanās par projekta īstenošanu noteiktajā termiņā iesniedz sadarbības iestādē ziņojumu par konstatēto šo noteikumu 39. un 40.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611 41. punkta pēdējais teikums precizēts atbilstoši faktiskai situācijai, proti, saskaņā ar starp finansējuma saņēmēju un sadarbības iestādi noslēgtās vienošanās par SAMP 2.1.1.5. projektu īstenošanu 1. pielikumā “Vienošanās vispārējie noteikumi” noteikto, informācijas ziņošanas pienākums par konstatēto MK noteikumu Nr. 611 39. un 40. punktā minēto nosacījumu pārkāpumu, ir noteikts finansējuma saņēmējam, jo sadarbības iestādei nav līguma vai vienošanās ar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minētajiem nosacījumiem visā projekta dzīves ciklā (10 - 15 gadu robežās). Sadarbības partneris visā projekta dzīves ciklā katru gadu sagatavo pārskatu par papildinošas saimnieciskās darbības apjomu un nodrošina šajā punktā minēto pārskatu un aprēķinus pamatojošo dokumentu pieejamību papildinošas saimnieciskās darbības uzraudzībai. Ja sadarbības partneris konstatē, ka ir pārsniegts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minētais 20 procentu ierobežojums no infrastruktūras gada jaudas platības, laika vai finanšu izteiksmē vai ka veiktās investīcijas tiek izmantotas citai saimnieciskai darbībai, kas nav uzskatāma par papildinošu saimniecisku darbību, tas informē finansējuma saņēmēju, kurš vienošanās par projekta īstenošanu noteiktajā termiņā iesniedz sadarbības iestādē ziņojumu par konstatēto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minēto nosacījumu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Sadarbības iestāde saskaņā ar Kultūras ministrijas izstrādāto Komercdarbības atbalsta piemērošanas metodiku nodrošina šo noteikumu 13.15. apakšpunktā minētā sadarbības partnera profesionālās izglītības iestādes infrastruktūrā veikto investīciju atbilstības uzraudzību atbilstoši šo noteikumu 41.</w:t>
            </w:r>
            <w:r w:rsidR="00000000" w:rsidRPr="00000000" w:rsidDel="00000000">
              <w:rPr>
                <w:vertAlign w:val="superscript"/>
                <w:rtl w:val="0"/>
              </w:rPr>
              <w:t xml:space="preserve">1</w:t>
            </w:r>
            <w:r w:rsidR="00000000" w:rsidRPr="00000000" w:rsidDel="00000000">
              <w:rPr>
                <w:rtl w:val="0"/>
              </w:rPr>
              <w:t xml:space="preserve"> punkta nosacījumiem visā projekta dzīves ciklā. Šo noteikumu 13.15. apakšpunktā minētais sadarbības partneris visā projekta dzīves ciklā ik gadu sagatavo pārskatu par saimnieciskās darbības apjomu un nodrošina minētā pārskata un aprēķinus pamatojošās dokumentācijas pieejamību saimnieciskās darbības uzraudzībai. Ja 13.15. apakšpunktā minētais sadarbības partneris konstatē, ka ir pārsniegts šo noteikumu 41.</w:t>
            </w:r>
            <w:r w:rsidR="00000000" w:rsidRPr="00000000" w:rsidDel="00000000">
              <w:rPr>
                <w:vertAlign w:val="superscript"/>
                <w:rtl w:val="0"/>
              </w:rPr>
              <w:t xml:space="preserve">1</w:t>
            </w:r>
            <w:r w:rsidR="00000000" w:rsidRPr="00000000" w:rsidDel="00000000">
              <w:rPr>
                <w:rtl w:val="0"/>
              </w:rPr>
              <w:t xml:space="preserve"> punktā  minētais ierobežojums un pašu ieņēmumi projektā atbalstītajā infrastruktūrā ir lielāki par 50 procentiem no projektā atbalstītās infrastruktūras gada budžeta, tas, ievērojot saskaņā ar vienošanos par projekta īstenošanu noteikto termiņu, iesniedz sadarbības iestādē ziņojumu par konstatēto šo noteikumu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koriģēt pēdējo teikumu atbilstoši faktiskajai situācijai, proti, CFLA nav līgumisku attiecību ar sadarbības partneriem, tāpēc informāciju par 41.</w:t>
            </w:r>
            <w:r w:rsidR="00000000" w:rsidRPr="00000000" w:rsidDel="00000000">
              <w:rPr>
                <w:vertAlign w:val="superscript"/>
                <w:rtl w:val="0"/>
              </w:rPr>
              <w:t xml:space="preserve">1</w:t>
            </w:r>
            <w:r w:rsidR="00000000" w:rsidRPr="00000000" w:rsidDel="00000000">
              <w:rPr>
                <w:rtl w:val="0"/>
              </w:rPr>
              <w:t xml:space="preserve"> punkta nosacījumu pārkāpumiem būtu jāsaņem no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13.15. apakšpunktā minētais sadarbības partneris konstatē, ka ir pārsniegts šo noteikumu 41.</w:t>
            </w:r>
            <w:r w:rsidR="00000000" w:rsidRPr="00000000" w:rsidDel="00000000">
              <w:rPr>
                <w:vertAlign w:val="superscript"/>
                <w:rtl w:val="0"/>
              </w:rPr>
              <w:t xml:space="preserve">1</w:t>
            </w:r>
            <w:r w:rsidR="00000000" w:rsidRPr="00000000" w:rsidDel="00000000">
              <w:rPr>
                <w:rtl w:val="0"/>
              </w:rPr>
              <w:t xml:space="preserve"> punktā  minētais ierobežojums un pašu ieņēmumi projektā atbalstītajā infrastruktūrā ir lielāki par 50 procentiem no projektā atbalstītās infrastruktūras gada budžeta, tas, informē finansējuma saņēmēju, kurš, ievērojot vienošanos par projekta īstenošanu noteikto termiņu, iesniedz sadarbības iestādē ziņojumu par konstatēto šo noteikumu 41.</w:t>
            </w:r>
            <w:r w:rsidR="00000000" w:rsidRPr="00000000" w:rsidDel="00000000">
              <w:rPr>
                <w:vertAlign w:val="superscript"/>
                <w:rtl w:val="0"/>
              </w:rPr>
              <w:t xml:space="preserve">1</w:t>
            </w:r>
            <w:r w:rsidR="00000000" w:rsidRPr="00000000" w:rsidDel="00000000">
              <w:rPr>
                <w:rtl w:val="0"/>
              </w:rPr>
              <w:t xml:space="preserve">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faktiskajai situācijai precizēta MK noteikumu Nr. 611 41.</w:t>
            </w:r>
            <w:r w:rsidR="00000000" w:rsidRPr="00000000" w:rsidDel="00000000">
              <w:rPr>
                <w:vertAlign w:val="superscript"/>
                <w:rtl w:val="0"/>
              </w:rPr>
              <w:t xml:space="preserve">2</w:t>
            </w:r>
            <w:r w:rsidR="00000000" w:rsidRPr="00000000" w:rsidDel="00000000">
              <w:rPr>
                <w:rtl w:val="0"/>
              </w:rPr>
              <w:t xml:space="preserve"> punkta redakcija, jo sadarbības iestādei nav līgumisku attiecību ar sadarbības partneriem, tāpēc informāciju par MK noteikumu Nr. 611 41.</w:t>
            </w:r>
            <w:r w:rsidR="00000000" w:rsidRPr="00000000" w:rsidDel="00000000">
              <w:rPr>
                <w:vertAlign w:val="superscript"/>
                <w:rtl w:val="0"/>
              </w:rPr>
              <w:t xml:space="preserve">1</w:t>
            </w:r>
            <w:r w:rsidR="00000000" w:rsidRPr="00000000" w:rsidDel="00000000">
              <w:rPr>
                <w:rtl w:val="0"/>
              </w:rPr>
              <w:t xml:space="preserve"> punkta nosacījumu pārkāpumiem jāsaņem no finansējuma saņēmēja.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Sadarbības iestāde saskaņā ar Kultūras ministrijas izstrādāto Komercdarbības atbalsta piemērošanas metodiku nodrošina šo noteikumu 13.15. apakšpunktā minētā sadarbības partnera profesionālās izglītības iestādes infrastruktūrā veikto investīciju atbilstības uzraudzību atbilstoši šo noteikumu 41.</w:t>
            </w:r>
            <w:r w:rsidR="00000000" w:rsidRPr="00000000" w:rsidDel="00000000">
              <w:rPr>
                <w:vertAlign w:val="superscript"/>
                <w:rtl w:val="0"/>
              </w:rPr>
              <w:t xml:space="preserve">1</w:t>
            </w:r>
            <w:r w:rsidR="00000000" w:rsidRPr="00000000" w:rsidDel="00000000">
              <w:rPr>
                <w:rtl w:val="0"/>
              </w:rPr>
              <w:t xml:space="preserve"> punkta nosacījumiem visā projekta dzīves ciklā. Šo noteikumu 13.15. apakšpunktā minētais sadarbības partneris visā projekta dzīves ciklā ik gadu sagatavo pārskatu par saimnieciskās darbības apjomu un nodrošina minētā pārskata un aprēķinus pamatojošās dokumentācijas pieejamību saimnieciskās darbības uzraudzībai. Ja 13.15. apakšpunktā minētais sadarbības partneris konstatē, ka ir pārsniegts šo noteikumu 41.</w:t>
            </w:r>
            <w:r w:rsidR="00000000" w:rsidRPr="00000000" w:rsidDel="00000000">
              <w:rPr>
                <w:vertAlign w:val="superscript"/>
                <w:rtl w:val="0"/>
              </w:rPr>
              <w:t xml:space="preserve">1</w:t>
            </w:r>
            <w:r w:rsidR="00000000" w:rsidRPr="00000000" w:rsidDel="00000000">
              <w:rPr>
                <w:rtl w:val="0"/>
              </w:rPr>
              <w:t xml:space="preserve"> punktā  minētais ierobežojums un pašu ieņēmumi projektā atbalstītajā infrastruktūrā ir lielāki par 50 procentiem no projektā atbalstītās infrastruktūras gada budžeta, tas informē finansējuma saņēmēju, kurš, ievērojot vienošanos par projekta īstenošanu noteikto termiņu, iesniedz sadarbības iestādē ziņojumu par konstatēto šo noteikumu 41.</w:t>
            </w:r>
            <w:r w:rsidR="00000000" w:rsidRPr="00000000" w:rsidDel="00000000">
              <w:rPr>
                <w:vertAlign w:val="superscript"/>
                <w:rtl w:val="0"/>
              </w:rPr>
              <w:t xml:space="preserve">1</w:t>
            </w:r>
            <w:r w:rsidR="00000000" w:rsidRPr="00000000" w:rsidDel="00000000">
              <w:rPr>
                <w:rtl w:val="0"/>
              </w:rPr>
              <w:t xml:space="preserve"> punktā minēto nosacījumu pārkāpumu.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25-TA-1726</w:t>
    </w:r>
    <w:r>
      <w:br/>
    </w:r>
    <w:r w:rsidR="00000000" w:rsidRPr="00000000" w:rsidDel="00000000">
      <w:rPr>
        <w:rtl w:val="0"/>
      </w:rPr>
      <w:t xml:space="preserve">30.10.2025. 15.58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25-TA-1726</w:t>
    </w:r>
    <w:r>
      <w:br/>
    </w:r>
    <w:r w:rsidR="00000000" w:rsidRPr="00000000" w:rsidDel="00000000">
      <w:rPr>
        <w:rtl w:val="0"/>
      </w:rPr>
      <w:t xml:space="preserve">30.10.2025. 15.58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Izziņa_25-TA-1726.docx</dc:title>
</cp:coreProperties>
</file>

<file path=docProps/custom.xml><?xml version="1.0" encoding="utf-8"?>
<Properties xmlns="http://schemas.openxmlformats.org/officeDocument/2006/custom-properties" xmlns:vt="http://schemas.openxmlformats.org/officeDocument/2006/docPropsVTypes"/>
</file>