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19. aprīļa noteikumos Nr. 249 "Darbības programmas "Izaugsme un nodarbinātība" 8.1.3. specifiskā atbalsta mērķa "Palielināt modernizēto profesionālās izglītības iestāžu skaitu"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19. aprīļa noteikumos Nr. 249 "Darbības programmas "Izaugsme un nodarbinātība" 8.1.3. specifiskā atbalsta mērķa "Palielināt modernizēto profesionālās izglītības iestāžu skaitu" īstenošanas noteikumi" (Latvijas Vēstnesis, 2016, 82., 149. nr.; 2017, 11., 107. nr.; 2018, 96., 206. nr.; 2019, 12., 124. nr.; 2020, 26. nr.; 2021, 66., 107. nr.; 2022, 136. nr.;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w:t>
            </w:r>
            <w:r w:rsidR="00000000" w:rsidRPr="00000000" w:rsidDel="00000000">
              <w:rPr>
                <w:vertAlign w:val="superscript"/>
                <w:rtl w:val="0"/>
              </w:rPr>
              <w:t xml:space="preserve">1 </w:t>
            </w:r>
            <w:r w:rsidR="00000000" w:rsidRPr="00000000" w:rsidDel="00000000">
              <w:rPr>
                <w:rtl w:val="0"/>
              </w:rPr>
              <w:t xml:space="preserve">apakšpunkta pirmajā teikumā lūdzam dzēst vārdus "profesionālās vidējās kultūrizglītības", ņemot vērā to, ka, ja sākotnēji tiek vērtētas infrastruktūrā veicamās darbības atbilstoši kultūras nozares nosacījumam, ka ieņēmumi nepārsniedz pusi no izdevumiem, tad PSD koncepts papildus nav jāvērtē. Vienlaikus, aicinām teikuma otro daļu izteikt jaunā redakcijā, lai papildpakalpojumu sniegšanu varētu attiecināt arī uz profesionālo vidējās kultūrizglītības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Lai atbalsts infrastruktūrai netiktu kvalificēts kā komercdarbības atbalsts, infrastruktūrā, kuru izmanto profesionālās izglītības  iestāžu vajadzībām, pamatlīdzekļu un ilgtermiņa ieguldījumu amortizācijas periodā ir pieļaujams veikt papildinošu saimniecisko darbību 20 % apmērā no infrastruktūras gada jaudas platības, laika vai finanšu izteiksmē. Projekta ietvaros attīstītajā ar nesaimniecisko darbību saistītajā infrastruktūrā projekta ieviešanas gaitā un uzraudzības periodā, kas atbilst pamatlīdzekļu amortizācijas periodam, ir pieļaujams sniegt papildpakalpojumus.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nav plānots mainīt MK noteikumos paredzēto nosacījumu par papildinošas saimnieciskās darbības pieļaujamību 8.1.3.specifiskā atbalsta mērķa ietvaros atbalstītajai izglītības infrastruktūrai un tā joprojām attiecas gan uz  profesionālās izglītības, gan uz  profesionālās vidējās kultūrizglītības iestāžu modernizēto izglītības infrastruktūru. Grozījumu mērķis,  izrietoši no  Kultūras ministrijas un Centrālās finanšu un līgumu aģentūras priekšlikuma, ir noteikt izņēmuma gadījumu komercdarbības atbalsta kontroles regulējuma piemērošanai MK noteikumu Nr. 249 15.2.3.apakšpunktā minētajam finansējuma saņēmējam 8.1.3.SAM ietvaros modernizētai infrastruktūrai, kurā izglītības un kultūras funkciju nav iespējams nodalīt;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38</w:t>
            </w:r>
            <w:r w:rsidR="00000000" w:rsidRPr="00000000" w:rsidDel="00000000">
              <w:rPr>
                <w:vertAlign w:val="superscript"/>
                <w:rtl w:val="0"/>
              </w:rPr>
              <w:t xml:space="preserve">1</w:t>
            </w:r>
            <w:r w:rsidR="00000000" w:rsidRPr="00000000" w:rsidDel="00000000">
              <w:rPr>
                <w:rtl w:val="0"/>
              </w:rPr>
              <w:t xml:space="preserve">.punkta redakcija paredz, ka papildpakalpojumu pieļaujamība  attiecas gan uz  profesionālās izglītības, gan uz  profesionālās vidējās kultūrizglītības iestāžu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19. aprīļa noteikumos Nr. 249 "Darbības programmas "Izaugsme un nodarbinātība" 8.1.3. specifiskā atbalsta mērķa "Palielināt modernizēto profesionālās izglītības iestāžu skaitu" īstenošanas noteikumi" (Latvijas Vēstnesis, 2016, 82., 149. nr.; 2017, 11., 107. nr.; 2018, 96., 206. nr.; 2019, 12., 124. nr.; 2020, 26. nr.; 2021, 66., 107. nr.; 2022, 136. nr.;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38.</w:t>
            </w:r>
            <w:r w:rsidR="00000000" w:rsidRPr="00000000" w:rsidDel="00000000">
              <w:rPr>
                <w:vertAlign w:val="superscript"/>
                <w:rtl w:val="0"/>
              </w:rPr>
              <w:t xml:space="preserve">1 </w:t>
            </w:r>
            <w:r w:rsidR="00000000" w:rsidRPr="00000000" w:rsidDel="00000000">
              <w:rPr>
                <w:rtl w:val="0"/>
              </w:rPr>
              <w:t xml:space="preserve">apakšpunkta ceturto teikumu,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infrastruktūrai, kuru izmanto šo noteikumu 15.2. apakšpunktā minētā finansējuma saņēmēja vajadzībām, netiek kvalificēts kā komercdarbības atbalsts gadījumā, ja šādai infrastruktūrai ir piešķirts arī kultūras institūcijas statuss un tajā īstenotā saimnieciskā darbība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 tai nav saimnieciska rakstura, jo pašu ieņēmumi atbalstītajā infrastruktūrā ir 50 procenti vai mazāki par 50 procentiem no kultūras jomas pakalpojumu sniedzēja gada budžeta atbalstītajā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 ja pašu ieņēmumi atbalstītajā infrastruktūrā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2.1. no visiem kultūras jomā sniegto pakalpojumu saņēmējiem vai  atbalstītā objekta apmeklētājiem gadā 85 procenti vai vairāk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2.2. īstenotie kultūras pasākumi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2.3. objekts netiek plaši reklamēts ārpus Latvijas teritorijas, tai skaitā netiek veiktas starptautiskas mārketinga aktivitātes un citas darbības pārrobežu reklāmas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8.1.3.SAM finansējums ir paredzēts profesionālās un profesionālās vidējās kultūrizglītības iestāžu </w:t>
            </w:r>
            <w:r w:rsidR="00000000" w:rsidRPr="00000000" w:rsidDel="00000000">
              <w:rPr>
                <w:u w:val="single"/>
                <w:rtl w:val="0"/>
              </w:rPr>
              <w:t xml:space="preserve">mācību un koplietošanas infrastruktūras un mācību aprīkojuma un iekārtu iegādei – respektīvi –</w:t>
            </w:r>
            <w:r w:rsidR="00000000" w:rsidRPr="00000000" w:rsidDel="00000000">
              <w:rPr>
                <w:b w:val="1"/>
                <w:u w:val="single"/>
                <w:rtl w:val="0"/>
              </w:rPr>
              <w:t xml:space="preserve"> izglītības mērķim</w:t>
            </w:r>
            <w:r w:rsidR="00000000" w:rsidRPr="00000000" w:rsidDel="00000000">
              <w:rPr>
                <w:b w:val="1"/>
                <w:rtl w:val="0"/>
              </w:rPr>
              <w:t xml:space="preserve">.</w:t>
            </w:r>
            <w:r w:rsidR="00000000" w:rsidRPr="00000000" w:rsidDel="00000000">
              <w:rPr>
                <w:rtl w:val="0"/>
              </w:rPr>
              <w:t xml:space="preserve"> Darbības programmas "Izaugsme un nodarbinātība" (turpmāk – DP) 8.1.3.SAM investīciju mērķis ir modernizēt profesionālās izglītības un profesionālās vidējās kultūrizglītības iestādes, nodrošinot mācību vides atbilstību tautsaimniecības nozaru attīstībai un uzlabojot profesionālās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8.1.3. SAM</w:t>
            </w:r>
            <w:r w:rsidR="00000000" w:rsidRPr="00000000" w:rsidDel="00000000">
              <w:rPr>
                <w:b w:val="1"/>
                <w:rtl w:val="0"/>
              </w:rPr>
              <w:t xml:space="preserve"> mērķa grupa</w:t>
            </w:r>
            <w:r w:rsidR="00000000" w:rsidRPr="00000000" w:rsidDel="00000000">
              <w:rPr>
                <w:rtl w:val="0"/>
              </w:rPr>
              <w:t xml:space="preserve"> ir valsts dibinātas IZM, KM padotībā esošas un pašvaldību dibinātas </w:t>
            </w:r>
            <w:r w:rsidR="00000000" w:rsidRPr="00000000" w:rsidDel="00000000">
              <w:rPr>
                <w:u w:val="single"/>
                <w:rtl w:val="0"/>
              </w:rPr>
              <w:t xml:space="preserve">profesionālās izglītības un profesionālās vidējās kultūrizglītības iestādes, kas veic tām deleģēto valsts pārvaldes uzdevumu – īsteno profesionālās vidējās izglītības un arodizglītības programmas</w:t>
            </w:r>
            <w:r w:rsidR="00000000" w:rsidRPr="00000000" w:rsidDel="00000000">
              <w:rPr>
                <w:rtl w:val="0"/>
              </w:rPr>
              <w:t xml:space="preserve"> saskaņā ar Izglītības likumā, Profesionālās izglītības likumā, citos normatīvajos aktos un iestādes nolikumā noteiktiem darbības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8.1.3.SAM mērķis un mērķa grupa izriet no DP 8. Prioritārā virziena “Izglītība, prasmes un mūžizglītība”, kura ietvaros paredzēts atbalsts profesionālās un pieaugušo izglītības kvalitātes uzlabošanai, pieejamībai un atbilstībai mainīgajām darba tirgus prasībām, t.sk. pilnveidojot nodarbināto profesionālo kvalifikāciju un kompetences,  Ieguldījumu prioritātes:  8.1. Investīcijas izglītībā un apmācībā, tostarp profesionālajā apmācībā, lai nodrošinātu prasmju apgūšanu un mūžizglītību, attīstot izglītības un apmācības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8.1.3.SAM investīciju mērķi un atbilstoši 8.1.3.SAM finansējuma saņēmēju ar saimniecisku darbību nesaistītai pamatdarbībai, kas ir valsts izglītības sistēmas ietvaros nodrošināta valsts izglītība, ko finansē un uzrauga valsts, </w:t>
            </w:r>
            <w:r w:rsidR="00000000" w:rsidRPr="00000000" w:rsidDel="00000000">
              <w:rPr>
                <w:b w:val="1"/>
                <w:rtl w:val="0"/>
              </w:rPr>
              <w:t xml:space="preserve">visā </w:t>
            </w:r>
            <w:r w:rsidR="00000000" w:rsidRPr="00000000" w:rsidDel="00000000">
              <w:rPr>
                <w:rtl w:val="0"/>
              </w:rPr>
              <w:t xml:space="preserve">8.1.3.SAM ietvaros modernizētajā infrastruktūrā piemēro komercdarbības atbalsta kontroles nosacījumus atbilstoši Eiropas Komisijas paziņojuma par Līguma par Eiropas Savienības darbību 107.panta 1.punktā minēto valsts atbalsta jēdzienu (2016/C262/01) 207.punktā sniegtajam skaidrojumam, ka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proti, paredzot  papildinošas saimnieciskās darbības veikšanu ierobežotā apmērā (nepārsniedzot 20%). Noteikumu projekts nosaka izņēmuma gadījumu tikai attiecībā uz Ventspils Mūzikas vidusskolu, kuras 8.1.3.SAM ietvaros izveidotai infrastruktūrai ir noteikts arī kultūras institūcijas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nepieciešamību pēc būtības izvērtēt investīcijas mērķi un finansējamās darbības pamato arī KM rīcībā esošais FM Komercdarbības atbalsta kontroles departamenta sniegtais viedoklis 2022. gada 2. augusta elektroniskajā sarakstē ar CFLA[1], tostarp, ka: “[…]no Eiropas Komisijas skaidrojumiem izriet, ka abi komercdarbības atbalsta kontroles koncepti kā noteikt, vai pasākumā tiek sniegts atbalsts saimnieciskai darbībai, – </w:t>
            </w:r>
            <w:r w:rsidR="00000000" w:rsidRPr="00000000" w:rsidDel="00000000">
              <w:rPr>
                <w:b w:val="1"/>
                <w:rtl w:val="0"/>
              </w:rPr>
              <w:t xml:space="preserve">(1) PSD pieļaušana ierobežotā apmērā</w:t>
            </w:r>
            <w:r w:rsidR="00000000" w:rsidRPr="00000000" w:rsidDel="00000000">
              <w:rPr>
                <w:rtl w:val="0"/>
              </w:rPr>
              <w:t xml:space="preserve"> (ar pamata nesaimniecisko infrastruktūru nepieciešama vai nesaraujami saistīta saimnieciskā darbība, kas nepārsniedz 20% no infrastruktūras kopējās gada jaudas (</w:t>
            </w:r>
            <w:r w:rsidR="00000000" w:rsidRPr="00000000" w:rsidDel="00000000">
              <w:rPr>
                <w:i w:val="1"/>
                <w:rtl w:val="0"/>
              </w:rPr>
              <w:t xml:space="preserve">Komisijas paziņojuma par Līguma par Eiropas Savienības darbību 107. panta 1. punktā minēto valsts atbalsta jēdzienu (2016/C 262/01) (turpmāk – NoA) 207. punkts</w:t>
            </w:r>
            <w:r w:rsidR="00000000" w:rsidRPr="00000000" w:rsidDel="00000000">
              <w:rPr>
                <w:rtl w:val="0"/>
              </w:rPr>
              <w:t xml:space="preserve">)) un </w:t>
            </w:r>
            <w:r w:rsidR="00000000" w:rsidRPr="00000000" w:rsidDel="00000000">
              <w:rPr>
                <w:b w:val="1"/>
                <w:rtl w:val="0"/>
              </w:rPr>
              <w:t xml:space="preserve">(2) nosacījums, ka ieņēmumi nepārsniedz pusi no izdevumiem, kas attiecināms uz kultūru </w:t>
            </w:r>
            <w:r w:rsidR="00000000" w:rsidRPr="00000000" w:rsidDel="00000000">
              <w:rPr>
                <w:rtl w:val="0"/>
              </w:rPr>
              <w:t xml:space="preserve">(</w:t>
            </w:r>
            <w:r w:rsidR="00000000" w:rsidRPr="00000000" w:rsidDel="00000000">
              <w:rPr>
                <w:i w:val="1"/>
                <w:rtl w:val="0"/>
              </w:rPr>
              <w:t xml:space="preserve">NoA 34. punkts</w:t>
            </w:r>
            <w:r w:rsidR="00000000" w:rsidRPr="00000000" w:rsidDel="00000000">
              <w:rPr>
                <w:rtl w:val="0"/>
              </w:rPr>
              <w:t xml:space="preserve">), lai darbības infrastruktūrā joprojām uzskatītu par nesaimnieciskajām –</w:t>
            </w:r>
            <w:r w:rsidR="00000000" w:rsidRPr="00000000" w:rsidDel="00000000">
              <w:rPr>
                <w:b w:val="1"/>
                <w:rtl w:val="0"/>
              </w:rPr>
              <w:t xml:space="preserve"> </w:t>
            </w:r>
            <w:r w:rsidR="00000000" w:rsidRPr="00000000" w:rsidDel="00000000">
              <w:rPr>
                <w:b w:val="1"/>
                <w:u w:val="single"/>
                <w:rtl w:val="0"/>
              </w:rPr>
              <w:t xml:space="preserve">ir atšķirīgi, nodalāmi koncepti, kas savā starpā nebūtu sajaucami kopā.</w:t>
            </w:r>
            <w:r w:rsidR="00000000" w:rsidRPr="00000000" w:rsidDel="00000000">
              <w:rPr>
                <w:rtl w:val="0"/>
              </w:rPr>
              <w:t xml:space="preserve">[…]” Vienlaikus skaidrots, ka”[…]</w:t>
            </w:r>
            <w:r w:rsidR="00000000" w:rsidRPr="00000000" w:rsidDel="00000000">
              <w:rPr>
                <w:i w:val="1"/>
                <w:rtl w:val="0"/>
              </w:rPr>
              <w:t xml:space="preserve"> lai piemērotu kādu no diviem minētajiem konceptiem, svarīgi ir korekti izvērtēt,</w:t>
            </w:r>
            <w:r w:rsidR="00000000" w:rsidRPr="00000000" w:rsidDel="00000000">
              <w:rPr>
                <w:i w:val="1"/>
                <w:u w:val="single"/>
                <w:rtl w:val="0"/>
              </w:rPr>
              <w:t xml:space="preserve"> </w:t>
            </w:r>
            <w:r w:rsidR="00000000" w:rsidRPr="00000000" w:rsidDel="00000000">
              <w:rPr>
                <w:b w:val="1"/>
                <w:i w:val="1"/>
                <w:u w:val="single"/>
                <w:rtl w:val="0"/>
              </w:rPr>
              <w:t xml:space="preserve">kādam mērķim un darbībām primāri tiek piešķirts publiskais finansējums</w:t>
            </w:r>
            <w:r w:rsidR="00000000" w:rsidRPr="00000000" w:rsidDel="00000000">
              <w:rPr>
                <w:i w:val="1"/>
                <w:rtl w:val="0"/>
              </w:rPr>
              <w:t xml:space="preserve">. Infrastruktūrai kopumā var piemērot PSD konceptu, savukārt ieguldījumam ar kultūras infrastruktūras vai kultūrvēsturiskā mantojuma saglabāšanas mērķi piemēro nosacījumu, ka gadījumā, ka ieņēmumi nepārsniedz pusi no izdevumiem, tad ieguldījums nav ar saimniecisku raksturu. […]</w:t>
            </w:r>
            <w:r w:rsidR="00000000" w:rsidRPr="00000000" w:rsidDel="00000000">
              <w:rPr>
                <w:rtl w:val="0"/>
              </w:rPr>
              <w:t xml:space="preserve">” un sniegta norāde, ka “[…] </w:t>
            </w:r>
            <w:r w:rsidR="00000000" w:rsidRPr="00000000" w:rsidDel="00000000">
              <w:rPr>
                <w:i w:val="1"/>
                <w:rtl w:val="0"/>
              </w:rPr>
              <w:t xml:space="preserve">augstāk minētie koncepti ir tādi, ko vispārēji pieļauj Eiropas Savienības Komercdarbības atbalsta kontroles regulējums, taču atbalsta sniedzējam, izstrādājot atbalsta pasākumus, ir rīcības brīvība, kuru no šiem konceptiem iekļaut atbalsta pasākuma  tiesiskajā regulējumā un /vai noteikt stingrākas prasības […] un “[…]  analizējot konkrēto gadījumu, ņemt vērā atbalsta pasākumā ietvertos nosacījumus. Un nevispārināt pieeju no šī gadījuma uz citu gadījumu, kas tiek ieviests atbilstoši citam atbalsta pasākumam , kurā ir atšķirīgi nosacījumi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atbildīgās iestādes rīcībā nav informācijas, ka vēl kādā no 8.1.3.SAM otrās kārtas projektiem ir konstatēta objektīva nepieciešamība mainīt esošo komercdarbības atbalsta konceptu. Turklāt finansējuma saņēmēju uzdevums – nodrošināt, lai šāda situācija nerodas. Un gadījumā, ja tāda situācija veidojas, tas ir savlaicīgi un individuāli risināms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2.puktā teikumu </w:t>
            </w:r>
            <w:r w:rsidR="00000000" w:rsidRPr="00000000" w:rsidDel="00000000">
              <w:rPr>
                <w:i w:val="1"/>
                <w:rtl w:val="0"/>
              </w:rPr>
              <w:t xml:space="preserve">"Pēc noteikumu projekta apstiprināšanas un attiecīgu izmaiņu veikšanas PSD kārtībā ir paredzēta 8.1.3.SAM finansējuma saņēmēju informēšana par veiktajiem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iestādi un veidu, kā finansējuma saņēmēji tiks informēti par veiktajiem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 papildināta ar informāciju par iestādi un veidu, kā finansējuma saņēmēji tiks informēti par veiktajiem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rosināto tiesību akta grozījumu būs ietekme uz īstenošanā esošajiem projektiem, t.i. vai būs nepieciešami grozījumi noslēgtajos līgumos/vienošanās.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papildināta ar informāciju par rosināto tiesību akta grozījumu  ietekmi uz īstenošanā esošajiem projektiem, t.i. vai būs nepieciešami grozījumi noslēgtajos līgumos/vienošanās.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plānotajiem grozījumiem MK noteikumu Nr. 249 38.1 punktā, kurā noteiktas atsevišķas prasības attiecībā uz MK noteikumu Nr. 249 15.2.3. apakšpunktā minēto finansējuma saņēmēju – Ventspils Mūzikas vidusskolu, pēc noteikumu projekta stāšanās spēkā ir veicami grozījumi ar sadarbības iestādi un Ventspils Mūzikas vidusskolu 2016. gada 27. decembrī noslēgtās vienošanās Nr. 8.1.3.0/16/I/014 “Valsts Ventspils Mūzikas vidusskolas infrastruktūras attīstība” 1. pielikumā “Vienošanās vispārējie noteikumi”, ietverot nosacījumus atbilstoši izmaiņām MK noteikumu Nr. 249 38.1, 38.2 un 38.3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rosinātās izmaiņas par izņēmuma gadījuma nosacījumiem attiecas tikai uz MK noteikumu 249 15.2.3. apakšpunktā minēto finansējuma saņēmēju – Ventspils Mūzikas vidusskolu, bet noteikumu projekta 2. un 3. punktā iekļautais PSD pašdeklarēšanās principa regulējums attiecas uz visiem 8.1.3.SAM finansējuma saņēmējiem. Pēc noteikumu projekta apstiprināšanas ir paredzēta 8.1.3.SAM finansējuma saņēmēju informēšana par veiktajiem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8.1.3. specifiskā atbalsta mērķa "Palielināt modernizēto profesionālās izglītības iestāžu skaitu"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pašdeklarācijas principa ievērošanu arī attiecībā uz kultūras institūciju darbības uzraudzību, aptverot gan papildinošas saimnieciskas darbības, gan kultūras institūciju darbības uzraudzību, veicot attiecīgus papildinājumus MK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balstoties uz faktisko situāciju un apstākli, ka projekta apstiprināšanas brīdī jau bija zināma situācija par koncertzāles būvniecību un tā ietekmi uz projektu, aicinām izvērtēt iespēju anotācijā norādīt, ka MK noteikumu grozījumi ir piemērojami no MK noteikumu pieņemšanas brīža (2016. gada 19. aprīļa).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 un 5. punktu, ar kuriem tiek paplašināta pašdeklarācijas principa ievērošana arī attiecībā uz kultūras institūciju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sadarbības iestādes 21.11.2024. organizētājā saskaņošanas sanāksmē ar FM, KM, TM pārrunāto un panākto vienošanos, ņemot vērā, ka 2016.gada 19.jūlijā tika pieņemts Eiropas Komisijas paziņojums par Līguma par Eiropas Savienības darbību 107.panta 1.punktā minēto valsts atbalsta jēdzienu (2016/c 262/01), tostarp skaidrojot valsts atbalsta nosacījumu piemērošanu atsevišķu nozaru ietvaros, kā, piemēram, kultūrai, noteikumu projekts papildināts ar V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38.</w:t>
            </w:r>
            <w:r w:rsidR="00000000" w:rsidRPr="00000000" w:rsidDel="00000000">
              <w:rPr>
                <w:vertAlign w:val="superscript"/>
                <w:rtl w:val="0"/>
              </w:rPr>
              <w:t xml:space="preserve">1</w:t>
            </w:r>
            <w:r w:rsidR="00000000" w:rsidRPr="00000000" w:rsidDel="00000000">
              <w:rPr>
                <w:rtl w:val="0"/>
              </w:rPr>
              <w:t xml:space="preserve">, 38.</w:t>
            </w:r>
            <w:r w:rsidR="00000000" w:rsidRPr="00000000" w:rsidDel="00000000">
              <w:rPr>
                <w:vertAlign w:val="superscript"/>
                <w:rtl w:val="0"/>
              </w:rPr>
              <w:t xml:space="preserve">2</w:t>
            </w:r>
            <w:r w:rsidR="00000000" w:rsidRPr="00000000" w:rsidDel="00000000">
              <w:rPr>
                <w:rtl w:val="0"/>
              </w:rPr>
              <w:t xml:space="preserve">, 38.</w:t>
            </w:r>
            <w:r w:rsidR="00000000" w:rsidRPr="00000000" w:rsidDel="00000000">
              <w:rPr>
                <w:vertAlign w:val="superscript"/>
                <w:rtl w:val="0"/>
              </w:rPr>
              <w:t xml:space="preserve">3</w:t>
            </w:r>
            <w:r w:rsidR="00000000" w:rsidRPr="00000000" w:rsidDel="00000000">
              <w:rPr>
                <w:rtl w:val="0"/>
              </w:rPr>
              <w:t xml:space="preserve">, 38</w:t>
            </w:r>
            <w:r w:rsidR="00000000" w:rsidRPr="00000000" w:rsidDel="00000000">
              <w:rPr>
                <w:vertAlign w:val="superscript"/>
                <w:rtl w:val="0"/>
              </w:rPr>
              <w:t xml:space="preserve">.4</w:t>
            </w:r>
            <w:r w:rsidR="00000000" w:rsidRPr="00000000" w:rsidDel="00000000">
              <w:rPr>
                <w:rtl w:val="0"/>
              </w:rPr>
              <w:t xml:space="preserve">, 38.</w:t>
            </w:r>
            <w:r w:rsidR="00000000" w:rsidRPr="00000000" w:rsidDel="00000000">
              <w:rPr>
                <w:vertAlign w:val="superscript"/>
                <w:rtl w:val="0"/>
              </w:rPr>
              <w:t xml:space="preserve">5</w:t>
            </w:r>
            <w:r w:rsidR="00000000" w:rsidRPr="00000000" w:rsidDel="00000000">
              <w:rPr>
                <w:rtl w:val="0"/>
              </w:rPr>
              <w:t xml:space="preserve"> un 38.</w:t>
            </w:r>
            <w:r w:rsidR="00000000" w:rsidRPr="00000000" w:rsidDel="00000000">
              <w:rPr>
                <w:vertAlign w:val="superscript"/>
                <w:rtl w:val="0"/>
              </w:rPr>
              <w:t xml:space="preserve">6</w:t>
            </w:r>
            <w:r w:rsidR="00000000" w:rsidRPr="00000000" w:rsidDel="00000000">
              <w:rPr>
                <w:rtl w:val="0"/>
              </w:rPr>
              <w:t xml:space="preserve"> punktā minētie komercdarbības atbalstu izslēdzošie nosacījumi attiecībā uz šo noteikumu 15.1.3.  apakšpunktā minētās profesionālās izglītības iestādes un 15.2.  apakšpunktā minēto profesionālās vidējās kultūrizglītības iestāžu projekta ietvaros izveidoto kultūrizglītības infrastruktūru piemērojami ar 2016. gada 19.jūliju."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8.1.3. specifiskā atbalsta mērķa "Palielināt modernizēto profesionālās izglītības iestāžu skaitu"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24-TA-1768</w:t>
    </w:r>
    <w:r>
      <w:br/>
    </w:r>
    <w:r w:rsidR="00000000" w:rsidRPr="00000000" w:rsidDel="00000000">
      <w:rPr>
        <w:rtl w:val="0"/>
      </w:rPr>
      <w:t xml:space="preserve">14.03.2025. 16.56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24-TA-1768</w:t>
    </w:r>
    <w:r>
      <w:br/>
    </w:r>
    <w:r w:rsidR="00000000" w:rsidRPr="00000000" w:rsidDel="00000000">
      <w:rPr>
        <w:rtl w:val="0"/>
      </w:rPr>
      <w:t xml:space="preserve">14.03.2025. 16.56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Izziņa_24-TA-1768.docx</dc:title>
</cp:coreProperties>
</file>

<file path=docProps/custom.xml><?xml version="1.0" encoding="utf-8"?>
<Properties xmlns="http://schemas.openxmlformats.org/officeDocument/2006/custom-properties" xmlns:vt="http://schemas.openxmlformats.org/officeDocument/2006/docPropsVTypes"/>
</file>