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26-TA-200: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30. aprīļa noteikumos Nr. 273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otrās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(04.05.2024.)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30.01.2026. 18:30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to, vai attiecībā uz izmaiņām infrastruktūras izmantošanas proporcijas aprēķina iesniegšanas nosacījumos būs nepieciešami grozījumi arī noslēgtajos līgumos par projektu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MK noteikumu grozījumu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anotācija ir papildināta ar informāciju par to, ka Eiropas Komisija 2025. gada 16. decembrī ir pieņēmusi Lēmumu (ES) 2025/2630.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Lēmuma (ES) 2025/2630 pārejas noteikumiem (9. panta a) punkts) atbalsta shēmas, kas stājās spēkā pirms jaunā lēmuma spēkā stāšanās un bija saderīgas ar Eiropas Savienības iekšējo tirgu un atbrīvotas no paziņošanas pienākuma saskaņā ar Lēmumu (ES) 2012/21/ES, arī turpmāk ir saderīgas ar iekšējo tirgu un atbrīvotas no paziņošanas prasības vēl divu gadu laikposmā pēc šā lēmuma stāšanās spēkā, t.i., līdz 2028. gada 7. janvārim. Neskatoties uz jauno regulējumu, saderības ar ES iekšējo tirgu pamatnosacījumi nav konceptuāli mainīti, proti, gan Lēmums (ES) 2012/21/ES, gan Lēmums (ES) 2025/2630 balstās uz tiem pašiem principiem, un jaunais lēmums būtiski nepārskata šos principus, bet tikai precizē terminoloģiju un atsevišķus aspektus, piemēram, pilnvarojuma satura prasības un atsevišķu vispārējas tautsaimniecības nozīmes pakalpojuma kategoriju definīcijas. Lai būtu skaidrs, ka, </w:t>
            </w:r>
            <w:r w:rsidR="00000000" w:rsidRPr="00000000" w:rsidDel="00000000">
              <w:rPr>
                <w:u w:val="single"/>
                <w:rtl w:val="0"/>
              </w:rPr>
              <w:t xml:space="preserve">neveicot grozījumus MK noteikumos</w:t>
            </w:r>
            <w:r w:rsidR="00000000" w:rsidRPr="00000000" w:rsidDel="00000000">
              <w:rPr>
                <w:rtl w:val="0"/>
              </w:rPr>
              <w:t xml:space="preserve">, atbalstu programmas ietvaros saskaņā ar Lēmumu (ES) 2012/21/ES var saņemt arī subjekti, kam noslēgts pilnvarojuma akts ar Lēmumu (ES) 2025/2630, aicinām anotācijā iekļaut atrunu, ka atbalstu saskaņā ar Lēmumu (ES) 2012/21/ES var saņemt arī subjekti, kam noslēgts pilnvarojuma akts ar Lēmumu (ES) 2025/2630, ievērojot noteikumos ietvertos atbalsta nosacījumus un nosacījumus, kas izriet no Lēmuma (ES) 2012/21/ES, un atsauces neesamība pilnvarojuma aktā uz Lēmumu (ES) 2012/21/ES nav šķērslis, lai piešķirtu atbalstu saskaņā ar Lēmumu (ES) 2012/21/ES. Taču, ja plānots, ka gadījumos, kad pilnvarojuma akts noslēgts atbilstoši Lēmumam (ES) 2025/2630, atbalstu piešķirs ar Lēmumu (ES) 2025/2630, tad lūgums </w:t>
            </w:r>
            <w:r w:rsidR="00000000" w:rsidRPr="00000000" w:rsidDel="00000000">
              <w:rPr>
                <w:u w:val="single"/>
                <w:rtl w:val="0"/>
              </w:rPr>
              <w:t xml:space="preserve">veikt precizējumus MK noteikumos</w:t>
            </w:r>
            <w:r w:rsidR="00000000" w:rsidRPr="00000000" w:rsidDel="00000000">
              <w:rPr>
                <w:rtl w:val="0"/>
              </w:rPr>
              <w:t xml:space="preserve"> un sniegt atbilstošu skaidrojumu anotācijā, skaidri nosakot, kuros gadījumos atbalstu piešķirs atbilstoši Lēmumam Nr.2012/21/ES un kuros – atbilstoši jaunajam Lēmumam Nr. 2025/2630 (atkarībā no tā, ar kuru Lēmumu pilnvarojuma akts). Piemēram, tad MK noteikumu 14.7. apakšpunkts būtu papildināms ar tekstu (izņemot, ja pilnvarojuma akts ir ar Komisijas Lēmumu (ES) 2025/2630 (2025. gada 16. decembris)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un jāsniedz 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grozījumu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27.1.</w:t>
            </w:r>
            <w:r w:rsidR="00000000" w:rsidRPr="00000000" w:rsidDel="00000000">
              <w:rPr>
                <w:rtl w:val="0"/>
              </w:rPr>
              <w:t xml:space="preserve"> apakšpunktā</w:t>
            </w:r>
            <w:r w:rsidR="00000000" w:rsidRPr="00000000" w:rsidDel="00000000">
              <w:rPr>
                <w:rtl w:val="0"/>
              </w:rPr>
              <w:t xml:space="preserve"> apakšpunktā minētās atbalstāmās darbības ietvaros ir attiecināmas projekta iesniedzēja un sadarbības partnera projekta vadības personāla izmaksas, kas radušās uz darba līguma pamata (izņemot izmaksas, kas radušās šo noteikumu 13.1. apakšpunktā minētajam projekta iesniedzējam un šo noteikumu 14.1. apakšpunktā minētajam sadarbības partnerim) vai uzņēmuma līguma pamata, tai skaitā normatīvajos aktos nodarbinātības jomā noteiktās piemaksas un nodokļi, nepārsniedzot Eiropas Reģionālās attīstības fonda daļas ierobežojumu, ko aprēķina ar minimālo izmaksu bāzi 34 422 euro gadā, pieskaitot 0,64 procentus no projekta tiešajām attiecināmajām izmaksām, bet neieskaitot tiešās projekta vadības personāla izmaksas. Ja projekts ilgst mazāk par gadu vai nepilnus kalendāra gadus, ierobežojumu aprēķina proporcionāli projekta darbību īstenošanas pilnu mēnešu skaitam.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2. punktu, un to salāgot ar anotācijā norādīto informāciju, par personāla iesaisti projektā un atbilstību aktuālajām vadlīnijām Nr. 1.2. “Vadlīnijas attiecināmo izmaksu noteikšanai Eiropas Savienības kohēzijas politikas programmas 2021. – 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noteikumu projekta 2. punktā iekļauto redakciju tiek svītrotas no Ministru kabineta (turpmāk – MK) 2024. gada 30. aprīļa noteikumi Nr. 273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otrās kārtas īstenošanas noteikumi" (MK noteikumi Nr. 273) 29. punkta projekta īstenošanas personāla izmaksas, un tiek lietotas nekorektas atsauces uz MK noteikumu Nr. 273 13.1. un 14.1. apakšpunktu, jo minētajos punktos, nav norādīti sadarbības partneri, ka arī 4.1.1.1. pasākuma "Ārstniecības iestāžu infrastruktūras attīstība" otrajā kārtā sadarbības partneri nav paredzēti.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plānots no MK noteikumu Nr. 273 29. punkta  svītrot projekta īstenošanas personāla izmaksas, tad lūdzam pārskatīt, vai MK noteikumu Nr. 273 27. punktā minēto atbalstāmo darbību ietvaros arī nav jāsvītro projekta īstenošanas personāla nodrošināšana (MK noteikumu Nr. 273 27.1. apakšpunkts), attiecīgi papildinot anotāciju ar skaidrojumu, par projekta īstenošanas personāla izmaksu svītrošanu.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grozījumu projekta 29.punkta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27.1. apakšpunktā minētās atbalstāmās darbības ietvaros ir attiecināmas finansējuma saņēmēja projekta vadības un īstenošanas personāla izmaksas, kas radušās uz darba līguma vai uzņēmuma līguma pamata, tai skaitā normatīvajos aktos nodarbinātības jomā noteiktās piemaksas un nodokļi, izmaksu apmēram nepārsniedzot ierobežojumu, ko aprēķina ar minimālo izmaksu bāzi 34 422 euro gadā, pieskaitot 0,64 % no projekta tiešajām attiecināmajām izmaksām, bet neieskaitot tiešās projekta vadības personāla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27.1.</w:t>
            </w:r>
            <w:r w:rsidR="00000000" w:rsidRPr="00000000" w:rsidDel="00000000">
              <w:rPr>
                <w:rtl w:val="0"/>
              </w:rPr>
              <w:t xml:space="preserve"> apakšpunktā</w:t>
            </w:r>
            <w:r w:rsidR="00000000" w:rsidRPr="00000000" w:rsidDel="00000000">
              <w:rPr>
                <w:rtl w:val="0"/>
              </w:rPr>
              <w:t xml:space="preserve"> apakšpunktā minētās atbalstāmās darbības ietvaros ir attiecināmas projekta iesniedzēja un sadarbības partnera projekta vadības personāla izmaksas, kas radušās uz darba līguma pamata (izņemot izmaksas, kas radušās šo noteikumu 13.1. apakšpunktā minētajam projekta iesniedzējam un šo noteikumu 14.1. apakšpunktā minētajam sadarbības partnerim) vai uzņēmuma līguma pamata, tai skaitā normatīvajos aktos nodarbinātības jomā noteiktās piemaksas un nodokļi, nepārsniedzot Eiropas Reģionālās attīstības fonda daļas ierobežojumu, ko aprēķina ar minimālo izmaksu bāzi 34 422 euro gadā, pieskaitot 0,64 procentus no projekta tiešajām attiecināmajām izmaksām, bet neieskaitot tiešās projekta vadības personāla izmaksas. Ja projekts ilgst mazāk par gadu vai nepilnus kalendāra gadus, ierobežojumu aprēķina proporcionāli projekta darbību īstenošanas pilnu mēnešu skaitam.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29. punktu, jo tā pašreizējā redakcijā ietvertas neprecīzas atsauces un lietota nekonsekventa terminoloģija. Proti, atsauce uz 13.1. apakšpunktu nav korekta, jo šāds apakšpunkts noteikumos nav ietverts. Savukārt 14.1. apakšpunktā nav paredzēta atsauce uz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tiek lietots jēdziens “sadarbības partneris”, kas noteikumos nav definēts, savukārt citviet tiek izmantots termins “sadarbības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nodrošinātu normatīvā akta atbilstību juridiskās tehnikas prasībām un vienotu terminu lietojumu visā noteikumu tekstā, lūdzam precizēt 29. punktu, aizstājot nekorektās atsauces un terminus ar atbilstošiem formulējumiem.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grozījumu projekta 29.punkta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27.1. apakšpunktā minētās atbalstāmās darbības ietvaros ir attiecināmas finansējuma saņēmēja projekta vadības un īstenošanas personāla izmaksas, kas radušās uz darba līguma vai uzņēmuma līguma pamata, tai skaitā normatīvajos aktos nodarbinātības jomā noteiktās piemaksas un nodokļi, izmaksu apmēram nepārsniedzot ierobežojumu, ko aprēķina ar minimālo izmaksu bāzi 34 422 euro gadā, pieskaitot 0,64 % no projekta tiešajām attiecināmajām izmaksām, bet neieskaitot tiešās projekta vadības personāla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w:t>
            </w:r>
            <w:r w:rsidR="00000000" w:rsidRPr="00000000" w:rsidDel="00000000">
              <w:rPr>
                <w:rtl w:val="0"/>
              </w:rPr>
              <w:t xml:space="preserve">30.1.</w:t>
            </w:r>
            <w:r w:rsidR="00000000" w:rsidRPr="00000000" w:rsidDel="00000000">
              <w:rPr>
                <w:rtl w:val="0"/>
              </w:rPr>
              <w:t xml:space="preserve"> apakšpunktā</w:t>
            </w:r>
            <w:r w:rsidR="00000000" w:rsidRPr="00000000" w:rsidDel="00000000">
              <w:rPr>
                <w:rtl w:val="0"/>
              </w:rPr>
              <w:t xml:space="preserve"> minētās izmaksas nepārsniedz 10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Ministru kabineta noteikumu redakcijā izdevumu pozīcijās ar noteiktu procentuālo ierobežojumu (31. punktā, 35. punktā) nav noteikts, vai procentuālais ierobežojums aprēķināms no projekta plānotajām vai faktiskajām attiecināmajām izmaksām, kas atbilst Vadošās iestādes Vadlīniju attiecināmo izmaksu noteikšanai Eiropas Savienības kohēzijas politikas programmas 2021.-2027.gada plānošanas periodā (turpmāk- vadlīnijas) 19.punktam, tomēr, ņemot vērā atsevišķus Revīzijas iestādes konstatējumus attiecībā uz situācijām, kad projekta īstenošanas gaitā rodas neatbilstoši veiktie izdevumi vai ietaupījums, kas var novest pie procentuālā ierobežojuma pārsnieguma konstatēšanas, pat ja izdevumi atbilst apstiprinātajam projekta budžetam, vadlīnijās paredzēts veikt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iespēju precizēt procentuālā ierobežojuma piemērošanas nosacījumus, nodrošinot, lai tie būtu viennozīmīgi, saprotami un praksē vienādi piemērojami visām iesaistītajām pusēm, nosakot, ka procentuālais ierobežojums tiek aprēķināts attiecībā pret projekta plānotajām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grozījumu projekta 31. un 35. punktu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w:t>
            </w:r>
            <w:r w:rsidR="00000000" w:rsidRPr="00000000" w:rsidDel="00000000">
              <w:rPr>
                <w:rtl w:val="0"/>
              </w:rPr>
              <w:t xml:space="preserve">30.1.</w:t>
            </w:r>
            <w:r w:rsidR="00000000" w:rsidRPr="00000000" w:rsidDel="00000000">
              <w:rPr>
                <w:rtl w:val="0"/>
              </w:rPr>
              <w:t xml:space="preserve"> apakšpunktā</w:t>
            </w:r>
            <w:r w:rsidR="00000000" w:rsidRPr="00000000" w:rsidDel="00000000">
              <w:rPr>
                <w:rtl w:val="0"/>
              </w:rPr>
              <w:t xml:space="preserve"> minētās izmaksas nepārsniedz 10 procentus no projekta kopējām attiecināmajām izmaksām. Procentuālais ierobežojums tiek aprēķināts no projekta plānotajām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44.9. nodrošina, ka iepirkumus, kuri nepieciešami atbalstāmo darbību īstenošanai, finansējuma saņēmējs veic atklātā, pārredzamā, nediskriminējošā un konkurenci nodrošinošā, sociāli atbildīgā veidā, kā arī saskaņā ar normatīvajiem aktiem publisko iepirkumu jomā, ievērojot nediskriminācijas principus. Projekta ietvaros ir atbalstāma vides prasību un inovatīva risinājuma integrēšana preču un pakalpojuma iepirkumos (zaļais publiskais iepirkums un inovāciju publiskais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mazināšanas nolūkos lūdzam izvērtēt iespēju sociāli atbildīga iepirkuma veikšanu nenoteikt kā obligātu prasību, bet gan kā izvēles iespēju.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grozījumu projekta 44.9. apakšpunkta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44.9. nodrošina, ka iepirkumus, kuri nepieciešami atbalstāmo darbību īstenošanai, finansējuma saņēmējs veic atklātā, pārredzamā, nediskriminējošā un konkurenci nodrošinošā un atbilstoši iespējām sociāli atbildīgā veidā, kā arī saskaņā ar normatīvajiem aktiem publisko iepirkumu jomā, ievērojot nediskriminācijas principus. Projekta ietvaros ir atbalstāma vides prasību un inovatīva risinājuma integrēšana preču un pakalpojuma iepirkumos (zaļais publiskais iepirkums un inovāciju publiskais iepirkums);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26-TA-200</w:t>
    </w:r>
    <w:r>
      <w:br/>
    </w:r>
    <w:r w:rsidR="00000000" w:rsidRPr="00000000" w:rsidDel="00000000">
      <w:rPr>
        <w:rtl w:val="0"/>
      </w:rPr>
      <w:t xml:space="preserve">25.02.2026. 17.50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26-TA-200</w:t>
    </w:r>
    <w:r>
      <w:br/>
    </w:r>
    <w:r w:rsidR="00000000" w:rsidRPr="00000000" w:rsidDel="00000000">
      <w:rPr>
        <w:rtl w:val="0"/>
      </w:rPr>
      <w:t xml:space="preserve">25.02.2026. 17.50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Izziņa_26-TA-200.docx</dc:title>
</cp:coreProperties>
</file>

<file path=docProps/custom.xml><?xml version="1.0" encoding="utf-8"?>
<Properties xmlns="http://schemas.openxmlformats.org/officeDocument/2006/custom-properties" xmlns:vt="http://schemas.openxmlformats.org/officeDocument/2006/docPropsVTypes"/>
</file>