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17. novembra noteikumos Nr. 649 "Kārtība, kādā pašvaldībām aprēķina un sadala valsts budžeta mērķdotāciju māksliniecisko kolektīvu vadītāju darba samaksai un valsts sociālās apdrošināšanas obligātajām iemaksām"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(21.11.2015.)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17. novembra noteikumos Nr. 649 "Kārtība, kādā pašvaldībām aprēķina un sadala valsts budžeta mērķdotāciju māksliniecisko kolektīvu vadītāju darba samaksai un valsts sociālās apdrošināšanas obligātajām iemaksām"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saskaņošanas procesā ir 4 savstarpēji saistīti dokumenti - Kultūras ministrijas precizētais konceptuālais ziņojums “Par māksliniecisko kolektīvu vadītāju darba samaksas finansēšanas kārtības maiņu” (TAP 23-TA-1708), Ministru kabineta rīkojuma projekts “Par apropriācijas pārdali” (TAP 24-TA-2213), Ministru kabineta noteikumu projekts “Grozījumi Ministru kabineta 2015. gada 28. jūlija noteikumos Nr. 440 “Kārtība, kādā tiek sadalīta valsts budžeta mērķdotācija to māksliniecisko kolektīvu vadītāju darba samaksai un valsts sociālās apdrošināšanas obligātajām iemaksām, kuru dibinātāji nav pašvaldības”” (TAP 24-TA-2221) un Ministru kabineta noteikumu projekts “Grozījumi Ministru kabineta 2015. gada 17. novembra noteikumos Nr. 649 “Kārtība, kādā pašvaldībām aprēķina un sadala valsts budžeta mērķdotāciju māksliniecisko kolektīvu vadītāju darba samaksai un valsts sociālās apdrošināšanas obligātajām iemaksām”” (TAP 24-TA-2220), kuros vēl ir nepieciešams vienoties par atbalstāmiem priekšlikumiem, atzinums tiks sniegts pēc sarunas ar Kultūras ministrijas atbildīgajām amatpersonām un  pēc precizēto dokumentu saņemšanas un izvērtēšanas.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Centrs 10 darbdienu laikā pēc pārskata par mērķdotācijas pieprasījumu saņemšanas izvērtē to un piecu darbdienu laikā veic mērķdotācijas apmēra pārskaitījumu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10 darbdienu laikā pēc ceturkšņa pārskata par </w:t>
            </w:r>
            <w:r w:rsidR="00000000" w:rsidRPr="00000000" w:rsidDel="00000000">
              <w:rPr>
                <w:b w:val="1"/>
                <w:rtl w:val="0"/>
              </w:rPr>
              <w:t xml:space="preserve">attiecīgā ceturkšņa</w:t>
            </w:r>
            <w:r w:rsidR="00000000" w:rsidRPr="00000000" w:rsidDel="00000000">
              <w:rPr>
                <w:rtl w:val="0"/>
              </w:rPr>
              <w:t xml:space="preserve"> mērķdotācijas pieprasījumu saņemšanas izvērtē to un piecu darbdienu laikā veic mērķdotācijas apmēra pārskaitījumu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8.1 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Centrs 10 darbdienu laikā pēc pārskata par attiecīgā ceturkšņa mērķdotācijas pieprasījumu saņemšanas izvērtē to un piecu darbdienu laikā veic mērķdotācijas apmēra pārskaitījumu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Centrs 10 darbdienu laikā pēc attiecīgā ceturkšņa pārskata par mērķdotācijas pieprasījumu saņemšanas izvērtē to un piecu darbdienu laikā veic mērķdotācijas apmēra pārskaitījumu pašvaldībai.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Pašvaldība saskaņā ar šo noteikumu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 aizpilda pārskatu par mērķdotācijas izlietojumu un iesniedz to ministriju, centrālo valsts iestāžu un pašvaldību pārskatu informācijas sistēmā līdz nākamā gada 15. janvārim, bet, ja tā ir brīvdiena vai svētku diena, tad pēdējā darbdienā pirms šīs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tas attiecas tikai par 2024.gada pēdējā ceturkšņa avansa maksājumu. Vai arī katru gadu ir jāsniedz papildus atskaite, kas dublēs jau iesniegtās ceturkšņa atskaites?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Noteikumu projektā paredzēto pašvaldībām katru gadu būs jāiesniedz pārskats par mērķdotācijas izlietojumu Valsts kases e-pakalpojumu portālā, ņemot vērā faktiski izmaksāto un saņemto mērķdotāciju.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Pašvaldība saskaņā ar šo noteikumu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 aizpilda pārskatu "Pārskats par mērķdotācijas izlietojumu" (turpmāk – pārskats par mērķdotācijas pieprasījumu) un iesniedz Valsts kases e-pakalpojumu portālā līdz nākamā gada 15. janvārim, bet, ja tā ir brīvdiena vai svētku diena, tad pēdējā darbdienā pirms šīs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pašvaldībām aprēķina un sadala valsts budžeta mērķdotāciju māksliniecisko kolektīvu vadītāju darba samaksai un valsts sociālās apdrošināšanas obligātajām iemaksām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Sniegt anotācijā informāciju par to, kad pašvaldība saņem informāciju par nākamā gada mērķdotācijas apjomu Informācija nepieciešama, lai plānotu mērķdotācijas priekšfinansējuma apjomu 2025.gada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mērķdotācijas apjoms 2025.gadā katrai valstspilsētai un novadam ir iekļauts likuma „Par valsts budžetu 2025. gadam” 10.pielikumā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pašvaldībām aprēķina un sadala valsts budžeta mērķdotāciju māksliniecisko kolektīvu vadītāju darba samaksai un valsts sociālās apdrošināšanas obligātajām iemaksām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pašvaldībām aprēķina un sadala valsts budžeta mērķdotāciju māksliniecisko kolektīvu vadītāju darba samaksai un valsts sociālās apdrošināšanas obligātajām iemaksām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anotācijā, ka jaunā mērķdotācijas piešķiršanas kārtība rada lielu administratīvo slogu pašvaldībām.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skaidrot vai mainot piešķiršanas kārtību nemainās arī mērķdotācijas būtība, jo  saskaņā ar Likums par budžetu un finanšu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Mērķdotācijas — valsts budžeta līdzekļi, kurus piešķir citiem budžetiem noteikta mērķa finansēšanai. Tas nozīmē, ka finanšu līdzekļi tiek sākotnēji ieskaitīti un tad tiek izmantoti noteiktā mērķa izdevumu apmaksai.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Dotācijas — budžeta līdzekļi, kurus piešķir citiem budžetiem, komersantiem, biedrībām un nodibinājumiem un citām institūcijām normatīvajos aktos noteiktajā kārtībā, lai nodrošinātu valsts vai pašvaldību funkciju izpildi.  Ja šo valsts finansējumu traktējam pašvaldību autonomās funkcijas izpratnē, tad tā ir dotācija, jo Dziesmu svētku likums nenosaka pienākumu pašvaldībām finansēt sagatavošanās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Dotācijas no vispārējiem ieņēmumiem — līdzekļi, kurus valsts budžeta institūcijas vai pašvaldības saņem no centralizētā kārtībā valsts budžeta ieņēmumos iemaksātiem nodokļiem, nodevām un citiem maksājumiem ar norādītu (iezīmētu) mērķi vai bez tā. Tā varētu būt arī dotācija no vispārējiem ieņēmumiem kā kompensācija par veiktajiem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Valdības rīcības plāna Deklarācijas par Evikas Siliņas Ministru kabineta iecerēto darbību īstenošanai (apstiprināts ar Ministru kabineta 2024.gada 20.janvāra rīkojumu Nr.55) 9.1.punktu tajā ir iekļauts šāds pasākums – "Nodrošināts kultūras nozarē strādājošajiem konkurētspējīgs atalgojums un ienākumi. Konkrēts finansējuma apjoms pasākuma īstenošanai tiks noteikts ikgadējā valsts budžeta veidošanas procesā.", savukārt kā sasniedzamais rezultāts ir norādīts – "Noteikta līdzvērtīga valsts finansējuma daļa (mērķdotācija) māksliniecisko kolektīvu vadītāju darba samaksai un valsts sociālās apdrošināšanas obligātajām iemaksām, stiprinot Dziesmu un deju svētku tradīcijas ilgtspēju un tās saglabāšanā iesaistīto speciālistu un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uzsākts reformas pirmais solis – mērķdotācijas palielināšana par 1,2 miljoniem māksliniecisko kolektīvu vadītāju darba samaksai un valsts sociālās apdrošināšanas obligātajām iemaksām. Lai nodrošinātu reformas uzsākšanu, tiek ieviests atšķirīgs atskaišu sistēmas mehānisms, proti, pašvaldībai mērķdotāciju maksāt pēc fakta, nevis kā līdz šim – avansā.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pašvaldībām aprēķina un sadala valsts budžeta mērķdotāciju māksliniecisko kolektīvu vadītāju darba samaksai un valsts sociālās apdrošināšanas obligātajām iemaksām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24-TA-2220</w:t>
    </w:r>
    <w:r>
      <w:br/>
    </w:r>
    <w:r w:rsidR="00000000" w:rsidRPr="00000000" w:rsidDel="00000000">
      <w:rPr>
        <w:rtl w:val="0"/>
      </w:rPr>
      <w:t xml:space="preserve">26.09.2024. 14.45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24-TA-2220</w:t>
    </w:r>
    <w:r>
      <w:br/>
    </w:r>
    <w:r w:rsidR="00000000" w:rsidRPr="00000000" w:rsidDel="00000000">
      <w:rPr>
        <w:rtl w:val="0"/>
      </w:rPr>
      <w:t xml:space="preserve">26.09.2024. 14.45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Izziņa_24-TA-2220.docx</dc:title>
</cp:coreProperties>
</file>

<file path=docProps/custom.xml><?xml version="1.0" encoding="utf-8"?>
<Properties xmlns="http://schemas.openxmlformats.org/officeDocument/2006/custom-properties" xmlns:vt="http://schemas.openxmlformats.org/officeDocument/2006/docPropsVTypes"/>
</file>