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22-TA-462: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ar 21.6.</w:t>
            </w:r>
            <w:r w:rsidR="00000000" w:rsidRPr="00000000" w:rsidDel="00000000">
              <w:rPr>
                <w:vertAlign w:val="superscript"/>
                <w:rtl w:val="0"/>
              </w:rPr>
              <w:t xml:space="preserve">16</w:t>
            </w:r>
            <w:r w:rsidR="00000000" w:rsidRPr="00000000" w:rsidDel="00000000">
              <w:rPr>
                <w:rtl w:val="0"/>
              </w:rPr>
              <w:t xml:space="preserve">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punktu, norādot 42.</w:t>
            </w:r>
            <w:r w:rsidR="00000000" w:rsidRPr="00000000" w:rsidDel="00000000">
              <w:rPr>
                <w:vertAlign w:val="superscript"/>
                <w:rtl w:val="0"/>
              </w:rPr>
              <w:t xml:space="preserve">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Tehnisks precizējums, labojums ir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Papildināt ar 21.6.</w:t>
            </w:r>
            <w:r w:rsidR="00000000" w:rsidRPr="00000000" w:rsidDel="00000000">
              <w:rPr>
                <w:vertAlign w:val="superscript"/>
                <w:rtl w:val="0"/>
              </w:rPr>
              <w:t xml:space="preserve">17</w:t>
            </w:r>
            <w:r w:rsidR="00000000" w:rsidRPr="00000000" w:rsidDel="00000000">
              <w:rPr>
                <w:rtl w:val="0"/>
              </w:rPr>
              <w:t xml:space="preserve">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punktu, norādot 42.</w:t>
            </w:r>
            <w:r w:rsidR="00000000" w:rsidRPr="00000000" w:rsidDel="00000000">
              <w:rPr>
                <w:vertAlign w:val="superscript"/>
                <w:rtl w:val="0"/>
              </w:rPr>
              <w:t xml:space="preserve">33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Tehnisks precizējums, labojums ir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ar 21.6.</w:t>
            </w:r>
            <w:r w:rsidR="00000000" w:rsidRPr="00000000" w:rsidDel="00000000">
              <w:rPr>
                <w:vertAlign w:val="superscript"/>
                <w:rtl w:val="0"/>
              </w:rPr>
              <w:t xml:space="preserve">18</w:t>
            </w:r>
            <w:r w:rsidR="00000000" w:rsidRPr="00000000" w:rsidDel="00000000">
              <w:rPr>
                <w:rtl w:val="0"/>
              </w:rPr>
              <w:t xml:space="preserve">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punktu, norādot 42.</w:t>
            </w:r>
            <w:r w:rsidR="00000000" w:rsidRPr="00000000" w:rsidDel="00000000">
              <w:rPr>
                <w:vertAlign w:val="superscript"/>
                <w:rtl w:val="0"/>
              </w:rPr>
              <w:t xml:space="preserve">34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Tehnisks precizējums, labojums ir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Papildināt ar 48.1.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punktiem (kā ir šī brīža MKN redakcijā), norādot 46. un 47. Proti redakcija būtu šāda "……., izņemot šo noteikumu 46. un 47.punktā minētās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Tehnisks precizējums.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punta 5 apakšpunktā ir nekorekti norādītas atbalsta intensitātes, jo atbilstoši spēkā esošiem MK noteikumiem Nr.678 21.8.7. punktā noteikta kompensācija par 18.12. punkta darbību- 30% apmērā, ja pasākuma dalībnieks ir no Baltijas, 21.8.8. punktā par 18.12. punkta darbību- 40% apmērā, ja pasākuma dalībnieki ir ne tikai no Baltijas valstīm. Līdz ar to lūdzam precizēt anotācijas 5. apakšpunktā norādītās atbalsta intensitātes.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attiecībā uz īstenošanā esošajiem projektiem, t.i. vai būs nepieciešami grozījumi noslēgtajos līgumos /vienošanās.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papildināts ar MKN 60.punktu attiecīgā redakcijā, kas paredz,, ka veiktie grozījumi attiecībā uz atbalsta paplašināšanu vai sliekšņu paaugstināšanu attiecas uz visiem pieteikumiem par atbalsta periodu no 2022.gada.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komercdarbības atbalsts šo noteikumu ietvaros tiek sniegts ar de minimis regulējumu, kas neparedz paziņošanas pienākumu Eiropas Komisijai, lūdzam dzēst anotācijas 1.3. sadaļā sniegto informāciju: </w:t>
            </w:r>
            <w:r w:rsidR="00000000" w:rsidRPr="00000000" w:rsidDel="00000000">
              <w:rPr>
                <w:i w:val="1"/>
                <w:rtl w:val="0"/>
              </w:rPr>
              <w:t xml:space="preserve">"13. Ekonomikas ministrija 20 darbdienu laikā pēc MK Noteikumu projekta apstiprināšanas sagatavos un iesniegs ar Finanšu ministriju saskaņotu informāciju Eiropas Komisijai, izmantojot SANI 2 sistēmu."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un dzēst no anotācijas 1.3. sadaļas sniegtā informācija par paziņošanu SANI2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sadaļas "Risinājuma apraksts" 11.rindkopu ar 13.1.6. SAM atveseļošanas pasākumi ekonomikas nozarē kopējo React-EU pieejamo summu un nenoslēgto līgumu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CFLA, ka papildinām anotācijas 11.rindkopu ar skaidrojumu par 13.1.6.SAM kopējo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anotācijas 3.sadaļā sniegtā informācija, ņemot vērā izteikto iebildumu par noteikumu 9.</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par noteikumu 9.</w:t>
            </w:r>
            <w:r w:rsidR="00000000" w:rsidRPr="00000000" w:rsidDel="00000000">
              <w:rPr>
                <w:vertAlign w:val="superscript"/>
                <w:rtl w:val="0"/>
              </w:rPr>
              <w:t xml:space="preserve">2</w:t>
            </w:r>
            <w:r w:rsidR="00000000" w:rsidRPr="00000000" w:rsidDel="00000000">
              <w:rPr>
                <w:rtl w:val="0"/>
              </w:rPr>
              <w:t xml:space="preserve"> punktu, jāsvītro 12.punkts par atbalstu sniegšanu lielajiem komersantiem un papildu nepieciešamo valsts budžeta finansējumu 3 000 000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svītrots punkts par atbalstu lielajiem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par noteikumu 9.</w:t>
            </w:r>
            <w:r w:rsidR="00000000" w:rsidRPr="00000000" w:rsidDel="00000000">
              <w:rPr>
                <w:vertAlign w:val="superscript"/>
                <w:rtl w:val="0"/>
              </w:rPr>
              <w:t xml:space="preserve">2</w:t>
            </w:r>
            <w:r w:rsidR="00000000" w:rsidRPr="00000000" w:rsidDel="00000000">
              <w:rPr>
                <w:rtl w:val="0"/>
              </w:rPr>
              <w:t xml:space="preserve"> punktu, 6.punktā jāsvītro pēdējā rindkopa par valsts budžeta finansējumu lielajiem komersantiem, kā arī pie citas informācijas pēdējais teikums par Ministru kabineta rīkojuma projektu par finanšu līdzekļu piešķiršanu no valsts budžeta programmas "Līdzekļi neparedzētiem gadījumiem". Norādām, ka valsts budžeta finansējuma piešķišana 2022.gadā no programmas "Līdzekļi neparedzētiem gadījumiem" nav atbalstāma, ņemot vērā, ka atbilstoši MK 2018.gada 17.jūlija noteikumu Nr. 421 "Kārtība, kādā veic gadskārtējā valsts budžeta likumā noteiktās apropriācijas izmaiņas" 41.punktam līdzekļus no programmas "Līdzekļi neparedzētiem gadījumiem" piešķir valstiski īpaši nozīmīgiem pasākumiem, valsts pamatbudžeta apropriācijās neparedzētiem izdevumiem katastrofu un dabas stihiju seku novēršanai un to radīto zaudējumu kompensēšanai un citiem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svītrota sadaļa par atbalstu sniegšanu lielajiem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ka ir nepieciešams veikt 1.2.2.1. pasākuma MK noteikumu grozījumus, attiecīgi samazinot kopējo pieejamo finansējumu par 4 318 300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ka noteikumi paredz  nodrošināt plašāku atbalstu tūrisma uzņēmumiem un pašvaldību aktivitātēm Latvijas tūrisma nozares kā galamērķa sekmēšanai, kā arī atbalstīt tirgu pārorientēšanu steidzamības kārtā tiek virzīti noteikumi ņemot laikā papildus pārdalīto finansējumu. Vienlaikus vēršam uzmanību, ka turpināsies darbs pie MKN grozījumu izstrādes, kuros tiks iestrādāts papildus finansējums pēc pabeigta 1.2.2.1. un 1.2.2.3. pasākuma MK noteikumu skaņošanas procesa.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CFLA rīcībā esošās informācijas, 1.2.2.1. pasākuma projektos virssaistības ir apstiprinātas 9 219 700 EUR apmērā, nevis 9 381 700 EUR. Lūdzam skaidrot, vai precizēt anotācijā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ka noteikumi paredz  nodrošināt plašāku atbalstu tūrisma uzņēmumiem un pašvaldību aktivitātēm Latvijas tūrisma nozares kā galamērķa sekmēšanai, kā arī atbalstīt tirgu pārorientēšanu steidzamības kārtā tiek virzīti noteikumi ņemot laikā papildus pārdalīto finansējumu. Vienlaikus vēršam uzmanību, ka turpināsies darbs pie MKN grozījumu izstrādes, kuros tiks iestrādāts papildus finansējums pēc pabeigta 1.2.2.1. un 1.2.2.3. pasākuma MK noteikumu skaņošanas procesa.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un/vai noteikumu projektā precizēt norādīto informāciju par pārdalāmā finansējuma apjomu no 13.1.6. SAM uz 3.2.1.2. pasākumu, ņemot vērā, ka anotācijā tiek norādīts gan 3 318 300 EUR, gan 4 318 300 EUR, savukārt noteikumu projektā- 4 318 300.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ka noteikumi paredz  nodrošināt plašāku atbalstu tūrisma uzņēmumiem un pašvaldību aktivitātēm Latvijas tūrisma nozares kā galamērķa sekmēšanai, kā arī atbalstīt tirgu pārorientēšanu steidzamības kārtā tiek virzīti noteikumi ņemot laikā papildus pārdalīto finansējumu. Vienlaikus vēršam uzmanību, ka turpināsies darbs pie MKN grozījumu izstrādes, kuros tiks iestrādāts papildus finansējums pēc pabeigta 1.2.2.1. un 1.2.2.3. pasākuma MK noteikumu skaņošanas procesa.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norādīt algoritmu, pēc kura tiek aprēķināta jaunā 13.1.1. SAM pasākuma ietvaros plānotā sasniedzamā rādītāja vērtība.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ka noteikumi paredz  nodrošināt plašāku atbalstu tūrisma uzņēmumiem un pašvaldību aktivitātēm Latvijas tūrisma nozares kā galamērķa sekmēšanai, kā arī atbalstīt tirgu pārorientēšanu steidzamības kārtā tiek virzīti noteikumi ņemot laikā papildus pārdalīto finansējumu. Vienlaikus vēršam uzmanību, ka turpināsies darbs pie MKN grozījumu izstrādes, kuros tiks iestrādāts papildus finansējums pēc pabeigta 1.2.2.1. un 1.2.2.3. pasākuma MK noteikumu skaņošanas procesa.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2.Valsts kancelejai sagatavot noteikumu projektu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3.Pieņemt zināšanai, ka no Nr. 617 noteikumiem Darbības programmas "Izaugsme un nodarbinātība" 1.2.2. specifiskā atbalsta mērķa "Veicināt inovāciju ieviešanu komersantos" 1.2.2.1. pasākuma "Atbalsts nodarbināto apmācībām" pirmās un otrās projektu iesniegumu atlases kārtas īstenošanas noteikumi” tiks novirzīts virssaistību finansējums 3 318 300 euro atbalsta programmas finansēšanai, kas tiek realizēta saskaņā ar Ministru kabineta 2015.gada 1.decembra noteikumiem Nr. 678 “Darbības programmas "Izaugsme un nodarbinātība" 3.2.1. specifiskā atbalsta mērķa "Palielināt augstas pievienotās vērtības produktu un pakalpojumu eksporta proporciju" 3.2.1.2. pasākuma "Starptautiskās konkurētspējas veicināšana" īstenošanas noteikumi”, līdz 2023. 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TAP saskaņošanas procesā ir 1.2.2.1. pasākuma MK noteikumu grozījumi, ar kuriem virssaistības tiek aizstātas ar 13.1.6. SAM finansējumu, lūdzam precizēt protokollēmuma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ka noteikumi paredz  nodrošināt plašāku atbalstu tūrisma uzņēmumiem un pašvaldību aktivitātēm Latvijas tūrisma nozares kā galamērķa sekmēšanai, kā arī atbalstīt tirgu pārorientēšanu steidzamības kārtā tiek virzīti noteikumi ņemot laikā papildus pārdalīto finansējumu. Vienlaikus vēršam uzmanību, ka turpināsies darbs pie MKN grozījumu izstrādes, kuros tiks iestrādāts papildus finansējums pēc pabeigta 1.2.2.1. un 1.2.2.3. pasākuma MK noteikumu skaņošanas procesa.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2.Valsts kancelejai sagatavot noteikumu projektu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2.Valsts kancelejai sagatavot noteikumu projektu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3.Pieņemt zināšanai, ka no Nr. 617 noteikumiem Darbības programmas "Izaugsme un nodarbinātība" 1.2.2. specifiskā atbalsta mērķa "Veicināt inovāciju ieviešanu komersantos" 1.2.2.1. pasākuma "Atbalsts nodarbināto apmācībām" pirmās un otrās projektu iesniegumu atlases kārtas īstenošanas noteikumi” tiks novirzīts virssaistību finansējums 3 318 300 euro atbalsta programmas finansēšanai, kas tiek realizēta saskaņā ar Ministru kabineta 2015.gada 1.decembra noteikumiem Nr. 678 “Darbības programmas "Izaugsme un nodarbinātība" 3.2.1. specifiskā atbalsta mērķa "Palielināt augstas pievienotās vērtības produktu un pakalpojumu eksporta proporciju" 3.2.1.2. pasākuma "Starptautiskās konkurētspējas veicināšana" īstenošanas noteikumi”, līdz 2023. 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protokollēmumu ar šādu punktu: "Ekonomikas ministrijai sadarbībā ar Centrālo finanšu un līgumu aģentūru nodrošināt, ka finansējuma saņēmēji uzņemas papildu līgumsaistības projektā Nr. 3.2.1.2/16/I/001  “Starptautiskās konkurētspējas veicināšana” un projektā Nr. 3.2.1.2/16/I/002 "Latvijas starptautiskās konkurētspējas veicināšana tūrismā", palielinot pieejamo kopējo attiecināmo finansējumu kopā par par 3 318 300 euro tikai pēc tam, kad ir stājušies spēkā grozījumi Ministru kabineta 2015. gada 27. oktobra noteikumos Nr. 617 "Darbības programmas "Izaugsme un nodarbinātība" 1.2.2. specifiskā atbalsta mērķa "Veicināt inovāciju ieviešanu komersantos" 1.2.2.1. pasākuma "Atbalsts nodarbināto apmācībām" pirmās un otrās projektu iesniegumu atlases kārtas īstenošanas noteikumi", pārdalot finansējumu 3 318 300 euro apmērā uz 3.2.1.2.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ka noteikumi paredz  nodrošināt plašāku atbalstu tūrisma uzņēmumiem un pašvaldību aktivitātēm Latvijas tūrisma nozares kā galamērķa sekmēšanai, kā arī atbalstīt tirgu pārorientēšanu steidzamības kārtā tiek virzīti noteikumi ņemot laikā papildus pārdalīto finansējumu. Vienlaikus vēršam uzmanību, ka turpināsies darbs pie MKN grozījumu izstrādes, kuros tiks iestrādāts papildus finansējums pēc pabeigta 1.2.2.1. un 1.2.2.3. pasākuma MK noteikumu skaņošanas procesa.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2.Valsts kancelejai sagatavot noteikumu projektu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3.2.1. specifiskā atbalsta mērķa "Palielināt augstas pievienotās vērtības produktu un pakalpojumu eksporta proporciju" 3.2.1.2. pasākuma "Starptautiskās konkurētspējas veicināšana"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React- EU atbalsts tiks sniegts 13.1.1. SAM un iespējams atsevišķa pasākuma ietvaros, lūdzam mainīt MK noteikumu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Nosakumus mainīts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3.2.1. specifiskā atbalsta mērķa "Palielināt augstas pievienotās vērtības produktu un pakalpojumu eksporta proporciju" 3.2.1.2. pasākuma "Starptautiskās konkurētspējas veicināšana" īstenošanas noteikumi un 13.1.1. specifiskā atbalsta mērķa "Atveseļošanas pasākumi ekonomikas nozarē" 13.1.1.1. pasākuma "MVU izveide un attīstība"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Nr. 678 nosaukumu. Vēršam uzmanību, ka šobrīd 13.1.1. SAM "Atveseļošanas pasākumi ekonomikas nozarē" ietvaros tiek īstenoti šādi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13.1.1.1. "MVU izveide un attīstība" (finanšu instrumentu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13.1.1.2. "Atbalsts daudzdzīvokļu māju siltināšanai".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EM plāno piešķirt React-EU finansējumu 13.1.1.SAM ietvaros arī 3.2.1.2. pasākumā mērķa grupai, ir jāizvērtē iespēja izveidot jaunu pasākumu 13.1.1. SAM ietvaros. Piemēram, 13.1.1.4. pasākumus. Vienlaikus vēršam uzmanību, ka šāda veida izmaiņām ir jābūt iekļautiem kārtējos darbības programmas "Izaugsme un nodarbinātība" grozījumos.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ka noteikumi paredz  nodrošināt plašāku atbalstu tūrisma uzņēmumiem un pašvaldību aktivitātēm Latvijas tūrisma nozares kā galamērķa sekmēšanai, kā arī atbalstīt tirgu pārorientēšanu steidzamības kārtā tiek virzīti noteikumi ņemot laikā papildus pārdalīto finansējumu. Vienlaikus vēršam uzmanību, ka turpināsies darbs pie MKN grozījumu izstrādes, kuros tiks iestrādāts papildus finansējums pēc pabeigta 1.2.2.1. un 1.2.2.3. pasākuma MK noteikumu skaņošanas procesa.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projekts paredz React-EU finansējuma pārdali no 13.1.6. SAM, kurš šobrīd ir paredzēts 1.2.2.1. pasākuma "Atbalsts un nodarbināto apmācībām" (turpmāk - 1.2.2.2. pasākums) un 1.2.2.3. pasākuma "Atbalsts IKT un netehnoloģiskām apmācībām, kā arī apmācībām, lai sekmētu investoru piesaisti" (turpmāk - 1.2.2.3.pasākums) MK noteikumos, lūdzam pirms veikt grozījumus 3.2.1.2. pasākuma MK noteikumos, pabeigt 1.2.2.1. un 1.2.2.3. pasākuma MK noteikumu skaņošanas procesu.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notiek darbs pie MKN 617 izstrādes (Tap tiesību akta lietas ID - 21-TA-1566)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savu iepriekš izteikto iebildumu un informējam, ka ņemot vērā, ka MK noteikumu projekts paredz React-EU finansējuma pārdali no 13.1.6. SAM, kurš šobrīd ir paredzēts 1.2.2.1. pasākuma "Atbalsts un nodarbināto apmācībām" (turpmāk - 1.2.2.2. pasākums) un 1.2.2.3. pasākuma "Atbalsts IKT un netehnoloģiskām apmācībām, kā arī apmācībām, lai sekmētu investoru piesaisti" (turpmāk - 1.2.2.3.pasākums) MK noteikumos, lūdzam pirms veikt grozījumus 3.2.1.2. pasākuma MK noteikumos, pabeigt 1.2.2.1. un 1.2.2.3. pasākuma MK noteikumu skaņošanas procesu.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ka noteikumi paredz  nodrošināt plašāku atbalstu tūrisma uzņēmumiem un pašvaldību aktivitātēm Latvijas tūrisma nozares kā galamērķa sekmēšanai, kā arī atbalstīt tirgu pārorientēšanu steidzamības kārtā tiek virzīti noteikumi ņemot laikā papildus pārdalīto finansējumu. Vienlaikus vēršam uzmanību, ka turpināsies darbs pie MKN grozījumu izstrādes, kuros tiks iestrādāts papildus finansējums pēc pabeigta 1.2.2.1. un 1.2.2.3. pasākuma MK noteikumu skaņošanas procesa.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darbības programmas "Izaugsme un nodarbinātība" 3.2.1. specifiskā atbalsta mērķa "Palielināt augstas pievienotās vērtības produktu un pakalpojumu eksporta proporciju" 3.2.1.2. pasākumu "Starptautiskās konkurētspējas veicināšana" (turpmāk –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1.1. apakšpunktu, ņemot vērā, ka 3.2.1.2. pasākumu tiek plānots papildināt ar jauno REACT-EU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ka noteikumi paredz  nodrošināt plašāku atbalstu tūrisma uzņēmumiem un pašvaldību aktivitātēm Latvijas tūrisma nozares kā galamērķa sekmēšanai, kā arī atbalstīt tirgu pārorientēšanu steidzamības kārtā tiek virzīti noteikumi ņemot laikā papildus pārdalīto finansējumu. Vienlaikus vēršam uzmanību, ka turpināsies darbs pie MKN grozījumu izstrādes, kuros tiks iestrādāts papildus finansējums pēc pabeigta 1.2.2.1. un 1.2.2.3. pasākuma MK noteikumu skaņošanas procesa.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darbības programmas "Izaugsme un nodarbinātība" 3.2.1. specifiskā atbalsta mērķa "Palielināt augstas pievienotās vērtības produktu un pakalpojumu eksporta proporciju" 3.2.1.2. pasākumu "Starptautiskās konkurētspējas veicināšana" (turpmāk – pasākums);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prasības, atbalsta saņemšanai lielajiem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3.PV “MVK konkurētspējas veicināšanai” atbilst EK tematiskajam mērķim “Uzlabot MVK konkurētspēju”, kā arī 3.2.1.SAM mērķa grupa atbilstoši darbības programmai “Izaugsme un nodarbinātība” ir MVK, saimnieciskās darbības veicēji. Attiecīgi atbalstu lielajiem komersantiem nevar piemērot šī tematiskā mērķa/SAM ietvaros. Ņemot vērā, ka 3.2.1.2. SAMP ietvaros atbalstu lielajiem komersantiem nevarēs pieprasīt no EK, jebkuri izdevumi būs papildu negatīva ietekme uz valsts budžetu. Tāpat 3.2.1.2. SAMP nav MK lēmuma par virssaistību piešķiršanu lielo komersantu atbalstam. Lūdzam dzēst no MK noteikumu grozījumu projekta šādus punktus: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 prasības, atbalsta saņemšanai lielajiem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1</w:t>
            </w:r>
            <w:r w:rsidR="00000000" w:rsidRPr="00000000" w:rsidDel="00000000">
              <w:rPr>
                <w:rtl w:val="0"/>
              </w:rPr>
              <w:t xml:space="preserve"> Pasākuma mērķa grupa un gala labuma guvēji ir komersanti, kas atbilst lielā komersanta statusam saskaņā ar Regulas Nr.651/2014 2.panta 24.punktam.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Šo noteikumu 5.</w:t>
            </w:r>
            <w:r w:rsidR="00000000" w:rsidRPr="00000000" w:rsidDel="00000000">
              <w:rPr>
                <w:vertAlign w:val="superscript"/>
                <w:rtl w:val="0"/>
              </w:rPr>
              <w:t xml:space="preserve">1</w:t>
            </w:r>
            <w:r w:rsidR="00000000" w:rsidRPr="00000000" w:rsidDel="00000000">
              <w:rPr>
                <w:rtl w:val="0"/>
              </w:rPr>
              <w:t xml:space="preserve"> punktā minētajai mērķa grupai pieejamais valsts budžeta finansējums ir 3 000 000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lielajiem komersantiem administrēs un uzraudzīs LIAA. LIAA, izvērtēs saņemto iesniegumus, pārliecināsies par nodokļu maksātāja atbilstību MK Noteikumu projektā noteiktajiem kritērijiem un pieņems lēmumu par atbalsta sniegšanu. Atbalsts lielajiem komersantiem netiek  ietverti DP un lai neveidotu atsevišķu normatīvo regulējumu tiek integrētas normas, kas paredz atbalstu lielajiem komersantiem definējot konkrētus sasniedzamos mērķa rādītājus. Lai neradītu administratīvo slogu un lai nodrošinātu MK Noteikumu projektā paredzēto atbalstu lielajiem komersantiem, Ekonomikas ministrijas resorā ir nepieciešams valsts finansējums 3 000 000 euro apmērā šo izdevumu segšanai (tīrs valsts budžeta finansējums). Plānots, ka 2022.gada Ekonomikas ministrija iesniegs izskatīšanai Ministru kabinetā rīkojuma projektu par finanšu līdzekļu piešķiršanu no valsts budžeta programmas “Līdzekļi neparedzētiem gadījumiem” 1 500 000 euro apmērā, savukārt, 2023.gada plānošanas periodā lūgs piešķirt atlikušo 1 500 000 euro valsts finansējumu atbalstam lielajiem komersantiem.  Mēs netaisāmies prasīt no EK budžeta finansējumu, bet gan lielajiem komersantiem ir paredzēts 100% valsts budžeta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Pasākuma mērķa grupa un gala labuma guvēji ir komersanti, kas atbilst lielā komersanta statusam saskaņā ar Regulas Nr.651/2014 2.panta 24.punktam.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3.PV “MVK konkurētspējas veicināšanai” atbilst EK tematiskajam mērķim “Uzlabot MVK konkurētspēju”, kā arī 3.2.1.SAM mērķa grupa atbilstoši darbības programmai “Izaugsme un nodarbinātība” ir MVK, saimnieciskās darbības veicēji. Attiecīgi atbalstu lielajiem komersantiem nevar piemērot šī tematiskā mērķa/SAM ietvaros. Ņemot vērā, ka 3.2.1.2. SAMP ietvaros atbalstu lielajiem komersantiem nevarēs pieprasīt no EK, jebkuri izdevumi būs papildu negatīva ietekme uz valsts budžetu. Tāpat 3.2.1.2. SAMP nav MK lēmuma par virssaistību piešķiršanu lielo komersantu atbalstam. Lūdzam dzēst no MK noteikumu grozījumu projekta šādus punktus: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 prasības, atbalsta saņemšanai lielajiem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1 </w:t>
            </w:r>
            <w:r w:rsidR="00000000" w:rsidRPr="00000000" w:rsidDel="00000000">
              <w:rPr>
                <w:rtl w:val="0"/>
              </w:rPr>
              <w:t xml:space="preserve">Pasākuma mērķa grupa un gala labuma guvēji ir komersanti, kas atbilst lielā komersanta statusam saskaņā ar Regulas Nr.651/2014 2.panta 24.punktam.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Šo noteikumu 5.</w:t>
            </w:r>
            <w:r w:rsidR="00000000" w:rsidRPr="00000000" w:rsidDel="00000000">
              <w:rPr>
                <w:vertAlign w:val="superscript"/>
                <w:rtl w:val="0"/>
              </w:rPr>
              <w:t xml:space="preserve">1</w:t>
            </w:r>
            <w:r w:rsidR="00000000" w:rsidRPr="00000000" w:rsidDel="00000000">
              <w:rPr>
                <w:rtl w:val="0"/>
              </w:rPr>
              <w:t xml:space="preserve"> punktā minētajai mērķa grupai pieejamais valsts budžeta finansējums ir 3 000 000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lielajiem komersantiem administrēs un uzraudzīs LIAA. LIAA, izvērtēs saņemto iesniegumus, pārliecināsies par nodokļu maksātāja atbilstību MK Noteikumu projektā noteiktajiem kritērijiem un pieņems lēmumu par atbalsta sniegšanu. Atbalsts lielajiem komersantiem netiek  ietverti DP un lai neveidotu atsevišķu normatīvo regulējumu tiek integrētas normas, kas paredz atbalstu lielajiem komersantiem definējot konkrētus sasniedzamos mērķa rādītājus. Lai neradītu administratīvo slogu un lai nodrošinātu MK Noteikumu projektā paredzēto atbalstu lielajiem komersantiem, Ekonomikas ministrijas resorā ir nepieciešams valsts finansējums 3 000 000 euro apmērā šo izdevumu segšanai (tīrs valsts budžeta finansējums). Plānots, ka 2022.gada Ekonomikas ministrija iesniegs izskatīšanai Ministru kabinetā rīkojuma projektu par finanšu līdzekļu piešķiršanu no valsts budžeta programmas “Līdzekļi neparedzētiem gadījumiem” 1 500 000 euro apmērā, savukārt, 2023.gada plānošanas periodā lūgs piešķirt atlikušo 1 500 000 euro valsts finansējumu atbalstam lielajiem komersantiem.  Mēs netaisāmies prasīt no EK budžeta finansējumu, bet gan lielajiem komersantiem ir paredzēts 100% valsts budžeta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šo noteikumu 9.</w:t>
            </w:r>
            <w:r w:rsidR="00000000" w:rsidRPr="00000000" w:rsidDel="00000000">
              <w:rPr>
                <w:vertAlign w:val="superscript"/>
                <w:rtl w:val="0"/>
              </w:rPr>
              <w:t xml:space="preserve">1 </w:t>
            </w:r>
            <w:r w:rsidR="00000000" w:rsidRPr="00000000" w:rsidDel="00000000">
              <w:rPr>
                <w:rtl w:val="0"/>
              </w:rPr>
              <w:t xml:space="preserve">punkta React-EU finansējumu ietvaros sasniedzamais uzraudzības rādītājs - 20 komersanti, kas sniegs ieguldījumu SAM 13.1.1. atveseļošanas pasākumi ekonomikas nozarē rādītāju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konkrētu 13.1.1. SAM rādītāju un tā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šo noteikumu 9.</w:t>
            </w:r>
            <w:r w:rsidR="00000000" w:rsidRPr="00000000" w:rsidDel="00000000">
              <w:rPr>
                <w:vertAlign w:val="superscript"/>
                <w:rtl w:val="0"/>
              </w:rPr>
              <w:t xml:space="preserve">1 </w:t>
            </w:r>
            <w:r w:rsidR="00000000" w:rsidRPr="00000000" w:rsidDel="00000000">
              <w:rPr>
                <w:rtl w:val="0"/>
              </w:rPr>
              <w:t xml:space="preserve">punkta React-EU finansējumu ietvaros sasniedzamais uzraudzības rādītājs - 20 komersanti, kas sniegs ieguldījumu SAM 13.1.1.1. pasākuma "MVU izveide un attīstība" ieviešanai" rādītāju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spēkā esošie 13.1.1. SAM uzraudzības rādītāji nav attiecināmi uz 3.2.1.2. pasākuma būtību un mērķi, jo tie saistīti ar finanšu instrumentu un daudzdzīvokļu māju energoefektivitātes veicināšanu. Tādējādi ir jāiesniedz attiecīgi grozījumi darbības programmā "Izaugsme un nodarbinātība", paredzot jaunus 13.1.1.SAM rādītājus, kuri atspoguļos tieši 3.2.1.2. pasākuma sniegumu. Pēc tam minētie rādītāji un to vērtības ir jāiekļauj MK noteikumos Nr. 678.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ka noteikumi paredz  nodrošināt plašāku atbalstu tūrisma uzņēmumiem un pašvaldību aktivitātēm Latvijas tūrisma nozares kā galamērķa sekmēšanai, kā arī atbalstīt tirgu pārorientēšanu steidzamības kārtā tiek virzīti noteikumi ņemot laikā papildus pārdalīto finansējumu. Vienlaikus vēršam uzmanību, ka turpināsies darbs pie MKN grozījumu izstrādes, kuros tiks iestrādāts papildus finansējums pēc pabeigta 1.2.2.1. un 1.2.2.3. pasākuma MK noteikumu skaņošanas procesa.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šo noteikumu 9.</w:t>
            </w:r>
            <w:r w:rsidR="00000000" w:rsidRPr="00000000" w:rsidDel="00000000">
              <w:rPr>
                <w:vertAlign w:val="superscript"/>
                <w:rtl w:val="0"/>
              </w:rPr>
              <w:t xml:space="preserve">1 </w:t>
            </w:r>
            <w:r w:rsidR="00000000" w:rsidRPr="00000000" w:rsidDel="00000000">
              <w:rPr>
                <w:rtl w:val="0"/>
              </w:rPr>
              <w:t xml:space="preserve">punkta React-EU finansējumu ietvaros sasniedzamais uzraudzības rādītājs - 20 komersanti, kas sniegs ieguldījumu SAM 13.1.1.1. pasākuma "MVU izveide un attīstība" ieviešanai" rādītāju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8. punkts nosaka sasniedzamos rādītājus pasākuma ietvaros. Atbilstoši MK noteikumu 1.1. apakšpunktam, "pasākums" ir tikai 3.2.1.2., savukārt 13.1.1.1 ir atsevišķs REACT-EU pasākums, līdz ar to nav korekti 13.1.1.1. pasākuma plānoto sasniedzamo rādītāju paredzēt kā 8. punkta apakšpunktu. Lūdzam veikt atbilstošus precizējumus MK noteikumos, kā piemēru lūdzam skatīties 1.2.2.3. pasākuma MK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ka noteikumi paredz  nodrošināt plašāku atbalstu tūrisma uzņēmumiem un pašvaldību aktivitātēm Latvijas tūrisma nozares kā galamērķa sekmēšanai, kā arī atbalstīt tirgu pārorientēšanu steidzamības kārtā tiek virzīti noteikumi ņemot laikā papildus pārdalīto finansējumu. Vienlaikus vēršam uzmanību, ka turpināsies darbs pie MKN grozījumu izstrādes, kuros tiks iestrādāts papildus finansējums pēc pabeigta 1.2.2.1. un 1.2.2.3. pasākuma MK noteikumu skaņošanas procesa.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šo noteikumu 9.</w:t>
            </w:r>
            <w:r w:rsidR="00000000" w:rsidRPr="00000000" w:rsidDel="00000000">
              <w:rPr>
                <w:vertAlign w:val="superscript"/>
                <w:rtl w:val="0"/>
              </w:rPr>
              <w:t xml:space="preserve">1 </w:t>
            </w:r>
            <w:r w:rsidR="00000000" w:rsidRPr="00000000" w:rsidDel="00000000">
              <w:rPr>
                <w:rtl w:val="0"/>
              </w:rPr>
              <w:t xml:space="preserve">punkta React-EU finansējumu ietvaros sasniedzamais uzraudzības rādītājs - 20 komersanti, kas sniegs ieguldījumu SAM 13.1.1.1. pasākuma "MVU izveide un attīstība" ieviešanai" rādītāju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rādītāja sasniedzamās vērtības arī dalījumā pa abiem īstenošanā esošajiem projektiem, tas ir 11.1. un 11.2. apakšpunktā minētajam finansējuma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ka noteikumi paredz  nodrošināt plašāku atbalstu tūrisma uzņēmumiem un pašvaldību aktivitātēm Latvijas tūrisma nozares kā galamērķa sekmēšanai, kā arī atbalstīt tirgu pārorientēšanu steidzamības kārtā tiek virzīti noteikumi ņemot laikā papildus pārdalīto finansējumu. Vienlaikus vēršam uzmanību, ka turpināsies darbs pie MKN grozījumu izstrādes, kuros tiks iestrādāts papildus finansējums pēc pabeigta 1.2.2.1. un 1.2.2.3. pasākuma MK noteikumu skaņošanas procesa.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Pasākumam pieejams React-EU finansējums 3 318 300 euro, tai skaitā Eiropas Reģionālās attīstības fonda finansējums - 2 820 555 euro, valsts budžeta finansējums - 497 745 euro, kas attiecas uz 14. un 18. apakšpunktā noteiktajām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atbalsts tiks piešķirts 13.1.1.SAM "Atveseļošanas pasākumi ekonomikas nozarē" ietvaros. Lūdzam izvērtēt iespēju izveidot jaunu pasākumu 13.1.1. SAM ietvaros, pēc analoģijas ar 13.1.1.1. pasākuma "MVU izveide un attīstība" ieviešanai. Vēršam uzmanību, ka ir jānodrošinā atsevišķu ReactEU rādītāju uzskaiti KPVIS sistēmā. Papildus lūdzam izdalīt (piemēram anotācijā) rādītāja sasniedzamās vērtības arī dalījumā pa abiem īstenošanā esošajiem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 13.1.1.SAM pasākuma izveide nodrošinās atsevišķu izdevumu uzskaiti un korektu deklarēšanu.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jauna pasākuma izveidi 13.1.1. SAM ietvaros, taču ir lēmusi, ka šis finansējums un rādītāji tiks novirzīti SAM 13.1.1.1. ietvaros SKV un BI programmās.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Pasākumam pieejamais papildu attiecināmais finansējums React-EU atbalsta pasākumam 4 318 300 euro, tai skaitā Eiropas Reģionālās attīstības fonda finansējums - 3 670 555 euro, valsts budžeta finansējums - 647 745 euro, kas attiecas uz 14. un 18. apakšpunktā noteiktajām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anotācijā un 3.1.1.6. pasākuma MK noteikumu grozījumu projektā ir norādītā sekojoša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"4 318 300 euro finansējums tiek pārdalīts uz 13.1.1., kur Starptautiskās konkurētspējas programmā tiek pārdalīti 3 318 300 euro savukārt BI programmai 1 000 000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projekts šobrīd paredz 3.2.1.2. pasākuma pārdalīt 4 318 300. Lūdzam vēlreiz izvērtēt pieejamā finansējuma atlikuma summu un atbilstoši precizēt MK noteikumu projektu, tā anotāciju un nepieciešamības gadījumā arī 3.1.1.6. pasākuma MK noteikumu grozījumu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ka noteikumi paredz  nodrošināt plašāku atbalstu tūrisma uzņēmumiem un pašvaldību aktivitātēm Latvijas tūrisma nozares kā galamērķa sekmēšanai, kā arī atbalstīt tirgu pārorientēšanu steidzamības kārtā tiek virzīti noteikumi ņemot laikā papildus pārdalīto finansējumu. Vienlaikus vēršam uzmanību, ka turpināsies darbs pie MKN grozījumu izstrādes, kuros tiks iestrādāts papildus finansējums pēc pabeigta 1.2.2.1. un 1.2.2.3. pasākuma MK noteikumu skaņošanas procesa.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Pasākumam pieejamais papildu attiecināmais finansējums React-EU atbalsta pasākumam 4 318 300 euro, tai skaitā Eiropas Reģionālās attīstības fonda finansējums - 3 670 555 euro, valsts budžeta finansējums - 647 745 euro, kas attiecas uz 14. un 18. apakšpunktā noteiktajām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norādot REACT-EU pasākuma numuru, kura ietvaros ir pieejams finansējums. Papildus lūdzam norādīt, kā sadalās REACT-EU pasākuma finansējums pa MK noteikumu 11.1. un 11.2. apakšpunktos norādītajiem finansējuma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šajā punktā norādītais finansējums ir pretrunā ar anotācijā un protokollēmumā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ka noteikumi paredz  nodrošināt plašāku atbalstu tūrisma uzņēmumiem un pašvaldību aktivitātēm Latvijas tūrisma nozares kā galamērķa sekmēšanai, kā arī atbalstīt tirgu pārorientēšanu steidzamības kārtā tiek virzīti noteikumi ņemot laikā papildus pārdalīto finansējumu. Vienlaikus vēršam uzmanību, ka turpināsies darbs pie MKN grozījumu izstrādes, kuros tiks iestrādāts papildus finansējums pēc pabeigta 1.2.2.1. un 1.2.2.3. pasākuma MK noteikumu skaņošanas procesa.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Šo noteikumu 5.</w:t>
            </w:r>
            <w:r w:rsidR="00000000" w:rsidRPr="00000000" w:rsidDel="00000000">
              <w:rPr>
                <w:vertAlign w:val="superscript"/>
                <w:rtl w:val="0"/>
              </w:rPr>
              <w:t xml:space="preserve">1</w:t>
            </w:r>
            <w:r w:rsidR="00000000" w:rsidRPr="00000000" w:rsidDel="00000000">
              <w:rPr>
                <w:rtl w:val="0"/>
              </w:rPr>
              <w:t xml:space="preserve"> punktā minētajai mērķa grupai pieejamais valsts budžeta finansējums ir 3 000 000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3.PV “MVK konkurētspējas veicināšanai” atbilst EK tematiskajam mērķim “Uzlabot MVK konkurētspēju”, kā arī 3.2.1.SAM mērķa grupa atbilstoši darbības programmai “Izaugsme un nodarbinātība” ir MVK, saimnieciskās darbības veicēji. Attiecīgi atbalstu lielajiem komersantiem nevar piemērot šī tematiskā mērķa/SAM ietvaros. Ņemot vērā, ka 3.2.1.2. SAMP ietvaros atbalstu lielajiem komersantiem nevarēs pieprasīt no EK, jebkuri izdevumi būs papildu negatīva ietekme uz valsts budžetu. Tāpat 3.2.1.2. SAMP nav MK lēmuma par virssaistību piešķiršanu lielo komersantu atbalstam. Lūdzam dzēst no MK noteikumu grozījumu projekta šādus punktus: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 prasības, atbalsta saņemšanai lielajiem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1</w:t>
            </w:r>
            <w:r w:rsidR="00000000" w:rsidRPr="00000000" w:rsidDel="00000000">
              <w:rPr>
                <w:rtl w:val="0"/>
              </w:rPr>
              <w:t xml:space="preserve"> Pasākuma mērķa grupa un gala labuma guvēji ir komersanti, kas atbilst lielā komersanta statusam saskaņā ar Regulas Nr.651/2014 2.panta 24.punktam.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Šo noteikumu 5.</w:t>
            </w:r>
            <w:r w:rsidR="00000000" w:rsidRPr="00000000" w:rsidDel="00000000">
              <w:rPr>
                <w:vertAlign w:val="superscript"/>
                <w:rtl w:val="0"/>
              </w:rPr>
              <w:t xml:space="preserve">1</w:t>
            </w:r>
            <w:r w:rsidR="00000000" w:rsidRPr="00000000" w:rsidDel="00000000">
              <w:rPr>
                <w:rtl w:val="0"/>
              </w:rPr>
              <w:t xml:space="preserve"> punktā minētajai mērķa grupai pieejamais valsts budžeta finansējums ir 3 000 000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lielajiem komersantiem administrēs un uzraudzīs LIAA. LIAA, izvērtēs saņemto iesniegumus, pārliecināsies par nodokļu maksātāja atbilstību MK Noteikumu projektā noteiktajiem kritērijiem un pieņems lēmumu par atbalsta sniegšanu. Atbalsts lielajiem komersantiem netiek  ietverti DP un lai neveidotu atsevišķu normatīvo regulējumu tiek integrētas normas, kas paredz atbalstu lielajiem komersantiem definējot konkrētus sasniedzamos mērķa rādītājus. Lai neradītu administratīvo slogu un lai nodrošinātu MK Noteikumu projektā paredzēto atbalstu lielajiem komersantiem, Ekonomikas ministrijas resorā ir nepieciešams valsts finansējums 3 000 000 euro apmērā šo izdevumu segšanai (tīrs valsts budžeta finansējums). Plānots, ka 2022.gada Ekonomikas ministrija iesniegs izskatīšanai Ministru kabinetā rīkojuma projektu par finanšu līdzekļu piešķiršanu no valsts budžeta programmas “Līdzekļi neparedzētiem gadījumiem” 1 500 000 euro apmērā, savukārt, 2023.gada plānošanas periodā lūgs piešķirt atlikušo 1 500 000 euro valsts finansējumu atbalstam lielajiem komersantiem.  Mēs netaisāmies prasīt no EK budžeta finansējumu, bet gan lielajiem komersantiem ir paredzēts 100% valsts budžeta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Šo noteikumu 5.</w:t>
            </w:r>
            <w:r w:rsidR="00000000" w:rsidRPr="00000000" w:rsidDel="00000000">
              <w:rPr>
                <w:vertAlign w:val="superscript"/>
                <w:rtl w:val="0"/>
              </w:rPr>
              <w:t xml:space="preserve">1</w:t>
            </w:r>
            <w:r w:rsidR="00000000" w:rsidRPr="00000000" w:rsidDel="00000000">
              <w:rPr>
                <w:rtl w:val="0"/>
              </w:rPr>
              <w:t xml:space="preserve"> punktā minētajai mērķa grupai pieejamais valsts budžeta finansējums ir 3 000 000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jaunais 9.</w:t>
            </w:r>
            <w:r w:rsidR="00000000" w:rsidRPr="00000000" w:rsidDel="00000000">
              <w:rPr>
                <w:vertAlign w:val="superscript"/>
                <w:rtl w:val="0"/>
              </w:rPr>
              <w:t xml:space="preserve">2</w:t>
            </w:r>
            <w:r w:rsidR="00000000" w:rsidRPr="00000000" w:rsidDel="00000000">
              <w:rPr>
                <w:rtl w:val="0"/>
              </w:rPr>
              <w:t xml:space="preserve"> punkts paredz papildu valsts budžeta finansējumu atbalsta sniegšanai lielajiem komersantiem 3 000 000 euro apmērā, tomēr nav skaidrs, uz kā pamata šāds papildu valsts budžeta finansējums būtu piešķirams. Vienlaikus no noteikumu projekta un anotācijā sniegtās informācijas secināms, ka minētais finansējums nav valsts budžeta līdzfinansējums pasākuma īstenošanai, bet valsts budžeta finansējums 100% apmērā jaunas aktivitātes īstenošanai, attiecīgi tas nav piešķirams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ievērojot Ministru kabineta 2018.gada 17.jūlija noteikumu Nr.421 “Kārtība, kādā veic gadskārtējā valsts budžeta likumā noteiktās apropriācijas izmaiņas” 24.1 apakšpunktā noteikto. Ņemot vērā minēto, noteikumu 9.</w:t>
            </w:r>
            <w:r w:rsidR="00000000" w:rsidRPr="00000000" w:rsidDel="00000000">
              <w:rPr>
                <w:vertAlign w:val="superscript"/>
                <w:rtl w:val="0"/>
              </w:rPr>
              <w:t xml:space="preserve">2</w:t>
            </w:r>
            <w:r w:rsidR="00000000" w:rsidRPr="00000000" w:rsidDel="00000000">
              <w:rPr>
                <w:rtl w:val="0"/>
              </w:rPr>
              <w:t xml:space="preserve"> punkts ir svītrojams un attiecīgi precizējama anotācijā sniegtā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un paskaidrots no kādiem līdzekļiem tiks segts valsts budžets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Šo noteikumu 5.</w:t>
            </w:r>
            <w:r w:rsidR="00000000" w:rsidRPr="00000000" w:rsidDel="00000000">
              <w:rPr>
                <w:vertAlign w:val="superscript"/>
                <w:rtl w:val="0"/>
              </w:rPr>
              <w:t xml:space="preserve">1</w:t>
            </w:r>
            <w:r w:rsidR="00000000" w:rsidRPr="00000000" w:rsidDel="00000000">
              <w:rPr>
                <w:rtl w:val="0"/>
              </w:rPr>
              <w:t xml:space="preserve"> punktā minētajai mērķa grupai pieejamais valsts budžeta finansējums ir 3 000 000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noteikumu 9.</w:t>
            </w:r>
            <w:r w:rsidR="00000000" w:rsidRPr="00000000" w:rsidDel="00000000">
              <w:rPr>
                <w:vertAlign w:val="superscript"/>
                <w:rtl w:val="0"/>
              </w:rPr>
              <w:t xml:space="preserve">2</w:t>
            </w:r>
            <w:r w:rsidR="00000000" w:rsidRPr="00000000" w:rsidDel="00000000">
              <w:rPr>
                <w:rtl w:val="0"/>
              </w:rPr>
              <w:t xml:space="preserve"> punkts šobrīd ir svītrojams, jo nevar paredzēt atbalstu lielajiem komersantiem, ja tam nav piešķirts nepieciešamais valsts budžeta finansējums 3 000 000 euro apmērā. Ņemot vērā, ka visi jautājumi par papildu finansējumu ir jāskata Ministru kabinetā gadskārtējā valsts budžeta sagatavošanas procesā, attiecīgi Ekonomikas ministrija būtu jāsagatavo prioritārā pasākuma pieteikums par nepieciešamo finansējumu 2023.gadam, ko Ministru kabinetā varētu skatīt 2023.gada budžeta sagatavošanas procesā kopā ar visu ministriju un citu centrālo valsts iestāžu iesniegtajiem prioritāro pasākumu pieteikumiem atbilstoši valsts budžeta finansiālajām iespējām. Līdz ar to noteikumos varēs paredzēt atbalstu lielajiem komersantiem tikai pēc tam, ja 2023.gada valsts budžeta sagatavošanas procesā minētajam mērķim tiks piešķirts papildu nepieciešamais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noteikumuj projekta dzēs atbalsts lielajiem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18.15. atbalsta nodrošināšana pasākuma mērķa grupai tīmekļvietnes, internetveikalu, lietotņu, digitālo risinājumu un virtuālās komunikācijas platformu (phygital event platformas) izstrādei, digitālo prezentāciju un mārketinga materiālu veidošanas platformu iegādei vai abonēšanas perioda apmaksai, kā arī datu vadības un analīzes sistēmu izstrādei, licenču iegādei vai abonēšanas apmaksai;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1. punktā izteiktajā Ministru kabineta 2015. gada 1. decembra noteikumu Nr. 678 "Darbības programmas "Izaugsme un nodarbinātība" 3.2.1. specifiskā atbalsta mērķa "Palielināt augstas pievienotās vērtības produktu un pakalpojumu eksporta proporciju" 3.2.1.2. pasākuma "Starptautiskās konkurētspējas veicināšana" īstenošanas noteikumi" (turpmāk – Noteikumi) 18.15. apakšpunktā no atbalstāmajām darbībām ir izslēgts atbalsts mārketinga materiālu veidošanas platformu izstrādei. Vēršam uzmanību, ka noteikumu projekta anotācijā nav sniegts skaidrojums par šo grozījumu veikšanas nepieciešamību, tādējādi nerodas pārliecība, ka minētie grozījumi atbilst tiesiskās paļāvības principam un kā tas ietekmēs jau izsniegto atbalstu, kas izsniegts šo noteikumu 18.15. apakšpunktā minētajām atbalstāmajām darbībām, t.i., atbalstam mārketinga materiālu veidošanas platformu izstrādei. Tiesiskās paļāvības princips noteic, ka privātpersona var paļauties, ka iestādes rīcība ir tiesiska un konsekventa, tai skaitā persona var paļauties, ka tā noteiktajā laikā varēs īstenot tai iegūtās tiesības. Satversmes tiesa ir norādījusi (2009. gada 26. novembra spriedums lietā Nr. 2009-08-01[1]), ka gadījumā, kad normatīvā regulējuma grozījumu rezultātā notiek vai ir iespējama privātpersonu tiesiskā stāvokļa pasliktināšanās, tiesiskās paļāvības princips nodrošina šo personu tiesību aizsardzību, proti, persona var paļauties, ka tā noteiktajā laikā varēs īstenot tai iegūtās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 noteikumu projekta 1. punkta redakcijas izriet regulējuma piemērošana ar atpakaļejošu spēku. Latvijas tiesību sistēmā nav piemērojamas tiesību normas ar atpakaļejošu spēku. Proti, Oficiālo publikāciju un tiesiskās informācijas likuma 9. panta ceturtā daļā noteic, ka normatīvajiem aktiem nav atpakaļejoša spēka, izņemot likumā īpaši paredzētus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noteikumu projekta anotācijā izvērsti skaidrot, kā noteikumu projektā paredzētais grozījums par atbalsta nepiemērošanu atbalstam mārketinga materiālu veidošanas platformu izstrādei ietekmēs personas, kuras jau ir saņēmušas atbalstu (vai minētajām personām pasliktināsies tiesiski iegūtais stāvoklis), tai skaitā, vai atbalstu saņēmušās personas ir informētas par iespējamo grozījumu un tās brīvprātīgi piekritušas šādam grozījumam. Ja minētais grozījums negatīvi un bez būtiska pamatojuma ietekmēs personu jau iegūtās tiesības, Tieslietu ministrija nevar atbalstīt minētās tiesību normas ietveršanu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Satversmes tiesas 2009. gada 26. novembra spriedums lietā Nr. 2009-08-01; Pieejams: http://www.satv.tiesa.gov.lv/wp-content/uploads/2016/02/2009-08-01_Spriedums.pdf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neparedz izslēgt attiecināmo izmaksu pozīciju,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18.17. atbalsta nodrošināšana pasākuma mērķa grupai ārvalstu atbilstošās nozares darījumu partneru piesaistei;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kā 18.17. apakšpunktā noteiktās atbalstāmās darbības nodrošina atbilstību </w:t>
            </w:r>
            <w:r w:rsidR="00000000" w:rsidRPr="00000000" w:rsidDel="00000000">
              <w:rPr>
                <w:i w:val="1"/>
                <w:rtl w:val="0"/>
              </w:rPr>
              <w:t xml:space="preserve">Komisijas 2013. gada 18. decembra Regulas (ES) Nr. 1407/2013 par Līguma par ES darbību 107. un 108. panta piemērošanu de minimis atbalstam (ES Oficiālais Vēstnesis, 2013. gada 24. decembris, Nr. L 352)</w:t>
            </w:r>
            <w:r w:rsidR="00000000" w:rsidRPr="00000000" w:rsidDel="00000000">
              <w:rPr>
                <w:rtl w:val="0"/>
              </w:rPr>
              <w:t xml:space="preserve"> (turpmāk – regula Nr. 1407/2013) 1. panta 1. punkta "d" apakšpunktam, t.i., ka atbalsts nav tieši saistīts ar eksportētajiem daudzumiem, izplatīšanas tīkla izveidi un darbību vai citiem kārtējiem izdevumiem, kas saistīti ar eksporta darbībām, jo uzskaitītās darbības saskaņā ar regulu Nr. 1407/2013 ir aizliegtas.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18.17. atbalsta nodrošināšana pasākuma mērķa grupai ārvalstu atbilstošās nozares darījumu partneru piesaistei;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18.18. atbalsta nodrošināšana pasākuma mērķa grupai dalībai starptautiskajās nozaru asociācijās;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kā 18.17. apakšpunktā noteiktās atbalstāmās darbības nodrošina atbilstību regulas Nr. 1407/2013 1. panta 1. punkta "d" apakšpunktam, t.i., ka atbalsts nav tieši saistīts ar eksportētajiem daudzumiem, izplatīšanas tīkla izveidi un darbību vai citiem kārtējiem izdevumiem, kas saistīti ar eksporta darbībām, jo uzskaitītās darbības saskaņā ar regulu Nr. 1407/2013 ir aizliegtas.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18.18. atbalsta nodrošināšana pasākuma mērķa grupai dalībai starptautiskajās nozaru asociācijās;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r w:rsidR="00000000" w:rsidRPr="00000000" w:rsidDel="00000000">
              <w:rPr>
                <w:vertAlign w:val="superscript"/>
                <w:rtl w:val="0"/>
              </w:rPr>
              <w:t xml:space="preserve">16</w:t>
            </w:r>
            <w:r w:rsidR="00000000" w:rsidRPr="00000000" w:rsidDel="00000000">
              <w:rPr>
                <w:rtl w:val="0"/>
              </w:rPr>
              <w:t xml:space="preserve"> šo noteikumu 18.17. apakšpunktā minētās darbības ietvaros gala labuma guvējiem (komersantiem, biedrībām, nodibinājumiem, izņemot tos, kuri darbojas zvejniecībā vai akvakultūrā vai nodarbojas ar lauksaimniecības produktu primāro ražošanu) nodrošina šo noteikumu 43.</w:t>
            </w:r>
            <w:r w:rsidR="00000000" w:rsidRPr="00000000" w:rsidDel="00000000">
              <w:rPr>
                <w:vertAlign w:val="superscript"/>
                <w:rtl w:val="0"/>
              </w:rPr>
              <w:t xml:space="preserve">31</w:t>
            </w:r>
            <w:r w:rsidR="00000000" w:rsidRPr="00000000" w:rsidDel="00000000">
              <w:rPr>
                <w:rtl w:val="0"/>
              </w:rPr>
              <w:t xml:space="preserve"> punktā minētās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Kļūdaini norādīta atsauce uz noteikumu punktu 43.</w:t>
            </w:r>
            <w:r w:rsidR="00000000" w:rsidRPr="00000000" w:rsidDel="00000000">
              <w:rPr>
                <w:vertAlign w:val="superscript"/>
                <w:rtl w:val="0"/>
              </w:rPr>
              <w:t xml:space="preserve">31</w:t>
            </w:r>
            <w:r w:rsidR="00000000" w:rsidRPr="00000000" w:rsidDel="00000000">
              <w:rPr>
                <w:rtl w:val="0"/>
              </w:rPr>
              <w:t xml:space="preserve">, pareizā atsauce būtu uz punktu 42.</w:t>
            </w:r>
            <w:r w:rsidR="00000000" w:rsidRPr="00000000" w:rsidDel="00000000">
              <w:rPr>
                <w:vertAlign w:val="superscript"/>
                <w:rtl w:val="0"/>
              </w:rPr>
              <w:t xml:space="preserve">31</w:t>
            </w:r>
            <w:r w:rsidR="00000000" w:rsidRPr="00000000" w:rsidDel="00000000">
              <w:rPr>
                <w:rtl w:val="0"/>
              </w:rPr>
              <w:t xml:space="preserve">.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r w:rsidR="00000000" w:rsidRPr="00000000" w:rsidDel="00000000">
              <w:rPr>
                <w:vertAlign w:val="superscript"/>
                <w:rtl w:val="0"/>
              </w:rPr>
              <w:t xml:space="preserve">16</w:t>
            </w:r>
            <w:r w:rsidR="00000000" w:rsidRPr="00000000" w:rsidDel="00000000">
              <w:rPr>
                <w:rtl w:val="0"/>
              </w:rPr>
              <w:t xml:space="preserve"> šo noteikumu 18.17. apakšpunktā minētās darbības ietvaros gala labuma guvējiem (komersantiem, biedrībām, nodibinājumiem, pašvaldībām, izņemot tos, kuri darbojas zvejniecībā vai akvakultūrā vai nodarbojas ar lauksaimniecības produktu primāro ražošanu) nodrošina šo noteikumu 42.</w:t>
            </w:r>
            <w:r w:rsidR="00000000" w:rsidRPr="00000000" w:rsidDel="00000000">
              <w:rPr>
                <w:vertAlign w:val="superscript"/>
                <w:rtl w:val="0"/>
              </w:rPr>
              <w:t xml:space="preserve">31</w:t>
            </w:r>
            <w:r w:rsidR="00000000" w:rsidRPr="00000000" w:rsidDel="00000000">
              <w:rPr>
                <w:rtl w:val="0"/>
              </w:rPr>
              <w:t xml:space="preserve"> punktā minētās izmaksu pozīcijas;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r w:rsidR="00000000" w:rsidRPr="00000000" w:rsidDel="00000000">
              <w:rPr>
                <w:vertAlign w:val="superscript"/>
                <w:rtl w:val="0"/>
              </w:rPr>
              <w:t xml:space="preserve">17</w:t>
            </w:r>
            <w:r w:rsidR="00000000" w:rsidRPr="00000000" w:rsidDel="00000000">
              <w:rPr>
                <w:rtl w:val="0"/>
              </w:rPr>
              <w:t xml:space="preserve"> šo noteikumu 18.18. apakšpunktā minētās darbības ietvaros gala labuma guvējiem (komersantiem, biedrībām, nodibinājumiem, izņemot tos, kuri darbojas zvejniecībā vai akvakultūrā vai nodarbojas ar lauksaimniecības produktu primāro ražošanu) nodrošina šo noteikumu 43.</w:t>
            </w:r>
            <w:r w:rsidR="00000000" w:rsidRPr="00000000" w:rsidDel="00000000">
              <w:rPr>
                <w:vertAlign w:val="superscript"/>
                <w:rtl w:val="0"/>
              </w:rPr>
              <w:t xml:space="preserve">33</w:t>
            </w:r>
            <w:r w:rsidR="00000000" w:rsidRPr="00000000" w:rsidDel="00000000">
              <w:rPr>
                <w:rtl w:val="0"/>
              </w:rPr>
              <w:t xml:space="preserve"> punktā minētās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Kļūdaini norādīta atsauce uz noteikumu punktu 43.</w:t>
            </w:r>
            <w:r w:rsidR="00000000" w:rsidRPr="00000000" w:rsidDel="00000000">
              <w:rPr>
                <w:vertAlign w:val="superscript"/>
                <w:rtl w:val="0"/>
              </w:rPr>
              <w:t xml:space="preserve">33</w:t>
            </w:r>
            <w:r w:rsidR="00000000" w:rsidRPr="00000000" w:rsidDel="00000000">
              <w:rPr>
                <w:rtl w:val="0"/>
              </w:rPr>
              <w:t xml:space="preserve">, pareizā atsauce būtu uz punktu 42.</w:t>
            </w:r>
            <w:r w:rsidR="00000000" w:rsidRPr="00000000" w:rsidDel="00000000">
              <w:rPr>
                <w:vertAlign w:val="superscript"/>
                <w:rtl w:val="0"/>
              </w:rPr>
              <w:t xml:space="preserve">33</w:t>
            </w:r>
            <w:r w:rsidR="00000000" w:rsidRPr="00000000" w:rsidDel="00000000">
              <w:rPr>
                <w:rtl w:val="0"/>
              </w:rPr>
              <w:t xml:space="preserve">.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r w:rsidR="00000000" w:rsidRPr="00000000" w:rsidDel="00000000">
              <w:rPr>
                <w:vertAlign w:val="superscript"/>
                <w:rtl w:val="0"/>
              </w:rPr>
              <w:t xml:space="preserve">17</w:t>
            </w:r>
            <w:r w:rsidR="00000000" w:rsidRPr="00000000" w:rsidDel="00000000">
              <w:rPr>
                <w:rtl w:val="0"/>
              </w:rPr>
              <w:t xml:space="preserve"> šo noteikumu 18.18. apakšpunktā minētās darbības ietvaros gala labuma guvējiem (komersantiem, biedrībām, nodibinājumiem, pašvaldībām, izņemot tos, kuri darbojas zvejniecībā vai akvakultūrā vai nodarbojas ar lauksaimniecības produktu primāro ražošanu) nodrošina šo noteikumu 42.</w:t>
            </w:r>
            <w:r w:rsidR="00000000" w:rsidRPr="00000000" w:rsidDel="00000000">
              <w:rPr>
                <w:vertAlign w:val="superscript"/>
                <w:rtl w:val="0"/>
              </w:rPr>
              <w:t xml:space="preserve">33</w:t>
            </w:r>
            <w:r w:rsidR="00000000" w:rsidRPr="00000000" w:rsidDel="00000000">
              <w:rPr>
                <w:rtl w:val="0"/>
              </w:rPr>
              <w:t xml:space="preserve"> punktā minētās izmaksu pozīcijas;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r w:rsidR="00000000" w:rsidRPr="00000000" w:rsidDel="00000000">
              <w:rPr>
                <w:vertAlign w:val="superscript"/>
                <w:rtl w:val="0"/>
              </w:rPr>
              <w:t xml:space="preserve">18</w:t>
            </w:r>
            <w:r w:rsidR="00000000" w:rsidRPr="00000000" w:rsidDel="00000000">
              <w:rPr>
                <w:rtl w:val="0"/>
              </w:rPr>
              <w:t xml:space="preserve"> noteikumu 18.19. apakšpunktā minētās darbības ietvaros gala labuma guvējiem (komersantiem, biedrībām, nodibinājumiem, izņemot tos, kuri darbojas zvejniecībā vai akvakultūrā vai nodarbojas ar lauksaimniecības produktu primāro ražošanu) nodrošina šo noteikumu 43.</w:t>
            </w:r>
            <w:r w:rsidR="00000000" w:rsidRPr="00000000" w:rsidDel="00000000">
              <w:rPr>
                <w:vertAlign w:val="superscript"/>
                <w:rtl w:val="0"/>
              </w:rPr>
              <w:t xml:space="preserve">34</w:t>
            </w:r>
            <w:r w:rsidR="00000000" w:rsidRPr="00000000" w:rsidDel="00000000">
              <w:rPr>
                <w:rtl w:val="0"/>
              </w:rPr>
              <w:t xml:space="preserve"> punktā minētās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Kļūdaini norādīta atsauce uz noteikumu punktu 43.</w:t>
            </w:r>
            <w:r w:rsidR="00000000" w:rsidRPr="00000000" w:rsidDel="00000000">
              <w:rPr>
                <w:vertAlign w:val="superscript"/>
                <w:rtl w:val="0"/>
              </w:rPr>
              <w:t xml:space="preserve">34</w:t>
            </w:r>
            <w:r w:rsidR="00000000" w:rsidRPr="00000000" w:rsidDel="00000000">
              <w:rPr>
                <w:rtl w:val="0"/>
              </w:rPr>
              <w:t xml:space="preserve">, pareizā atsauce būtu uz punktu 42.</w:t>
            </w:r>
            <w:r w:rsidR="00000000" w:rsidRPr="00000000" w:rsidDel="00000000">
              <w:rPr>
                <w:vertAlign w:val="superscript"/>
                <w:rtl w:val="0"/>
              </w:rPr>
              <w:t xml:space="preserve">34</w:t>
            </w:r>
            <w:r w:rsidR="00000000" w:rsidRPr="00000000" w:rsidDel="00000000">
              <w:rPr>
                <w:rtl w:val="0"/>
              </w:rPr>
              <w:t xml:space="preserve">.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r w:rsidR="00000000" w:rsidRPr="00000000" w:rsidDel="00000000">
              <w:rPr>
                <w:vertAlign w:val="superscript"/>
                <w:rtl w:val="0"/>
              </w:rPr>
              <w:t xml:space="preserve">18</w:t>
            </w:r>
            <w:r w:rsidR="00000000" w:rsidRPr="00000000" w:rsidDel="00000000">
              <w:rPr>
                <w:rtl w:val="0"/>
              </w:rPr>
              <w:t xml:space="preserve"> noteikumu 18.19. apakšpunktā minētās darbības ietvaros gala labuma guvējiem (komersantiem, biedrībām, nodibinājumiem, pašvaldībām, izņemot tos, kuri darbojas zvejniecībā vai akvakultūrā vai nodarbojas ar lauksaimniecības produktu primāro ražošanu) nodrošina šo noteikumu 42.</w:t>
            </w:r>
            <w:r w:rsidR="00000000" w:rsidRPr="00000000" w:rsidDel="00000000">
              <w:rPr>
                <w:vertAlign w:val="superscript"/>
                <w:rtl w:val="0"/>
              </w:rPr>
              <w:t xml:space="preserve">34</w:t>
            </w:r>
            <w:r w:rsidR="00000000" w:rsidRPr="00000000" w:rsidDel="00000000">
              <w:rPr>
                <w:rtl w:val="0"/>
              </w:rPr>
              <w:t xml:space="preserve"> punktā minētās izmaksu pozīcijas.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21.8.5. šo noteikumu 21.6.</w:t>
            </w:r>
            <w:r w:rsidR="00000000" w:rsidRPr="00000000" w:rsidDel="00000000">
              <w:rPr>
                <w:vertAlign w:val="superscript"/>
                <w:rtl w:val="0"/>
              </w:rPr>
              <w:t xml:space="preserve">3</w:t>
            </w:r>
            <w:r w:rsidR="00000000" w:rsidRPr="00000000" w:rsidDel="00000000">
              <w:rPr>
                <w:rtl w:val="0"/>
              </w:rPr>
              <w:t xml:space="preserve">, 21.6.</w:t>
            </w:r>
            <w:r w:rsidR="00000000" w:rsidRPr="00000000" w:rsidDel="00000000">
              <w:rPr>
                <w:vertAlign w:val="superscript"/>
                <w:rtl w:val="0"/>
              </w:rPr>
              <w:t xml:space="preserve">4</w:t>
            </w:r>
            <w:r w:rsidR="00000000" w:rsidRPr="00000000" w:rsidDel="00000000">
              <w:rPr>
                <w:rtl w:val="0"/>
              </w:rPr>
              <w:t xml:space="preserve">, 21.6.</w:t>
            </w:r>
            <w:r w:rsidR="00000000" w:rsidRPr="00000000" w:rsidDel="00000000">
              <w:rPr>
                <w:vertAlign w:val="superscript"/>
                <w:rtl w:val="0"/>
              </w:rPr>
              <w:t xml:space="preserve">5</w:t>
            </w:r>
            <w:r w:rsidR="00000000" w:rsidRPr="00000000" w:rsidDel="00000000">
              <w:rPr>
                <w:rtl w:val="0"/>
              </w:rPr>
              <w:t xml:space="preserve">, 21.6.</w:t>
            </w:r>
            <w:r w:rsidR="00000000" w:rsidRPr="00000000" w:rsidDel="00000000">
              <w:rPr>
                <w:vertAlign w:val="superscript"/>
                <w:rtl w:val="0"/>
              </w:rPr>
              <w:t xml:space="preserve">6</w:t>
            </w:r>
            <w:r w:rsidR="00000000" w:rsidRPr="00000000" w:rsidDel="00000000">
              <w:rPr>
                <w:rtl w:val="0"/>
              </w:rPr>
              <w:t xml:space="preserve">, 21.6.</w:t>
            </w:r>
            <w:r w:rsidR="00000000" w:rsidRPr="00000000" w:rsidDel="00000000">
              <w:rPr>
                <w:vertAlign w:val="superscript"/>
                <w:rtl w:val="0"/>
              </w:rPr>
              <w:t xml:space="preserve">7</w:t>
            </w:r>
            <w:r w:rsidR="00000000" w:rsidRPr="00000000" w:rsidDel="00000000">
              <w:rPr>
                <w:rtl w:val="0"/>
              </w:rPr>
              <w:t xml:space="preserve">, 21.6.</w:t>
            </w:r>
            <w:r w:rsidR="00000000" w:rsidRPr="00000000" w:rsidDel="00000000">
              <w:rPr>
                <w:vertAlign w:val="superscript"/>
                <w:rtl w:val="0"/>
              </w:rPr>
              <w:t xml:space="preserve">8</w:t>
            </w:r>
            <w:r w:rsidR="00000000" w:rsidRPr="00000000" w:rsidDel="00000000">
              <w:rPr>
                <w:rtl w:val="0"/>
              </w:rPr>
              <w:t xml:space="preserve">, 21.6.</w:t>
            </w:r>
            <w:r w:rsidR="00000000" w:rsidRPr="00000000" w:rsidDel="00000000">
              <w:rPr>
                <w:vertAlign w:val="superscript"/>
                <w:rtl w:val="0"/>
              </w:rPr>
              <w:t xml:space="preserve">9</w:t>
            </w:r>
            <w:r w:rsidR="00000000" w:rsidRPr="00000000" w:rsidDel="00000000">
              <w:rPr>
                <w:rtl w:val="0"/>
              </w:rPr>
              <w:t xml:space="preserve">, 21.6.</w:t>
            </w:r>
            <w:r w:rsidR="00000000" w:rsidRPr="00000000" w:rsidDel="00000000">
              <w:rPr>
                <w:vertAlign w:val="superscript"/>
                <w:rtl w:val="0"/>
              </w:rPr>
              <w:t xml:space="preserve">12</w:t>
            </w:r>
            <w:r w:rsidR="00000000" w:rsidRPr="00000000" w:rsidDel="00000000">
              <w:rPr>
                <w:rtl w:val="0"/>
              </w:rPr>
              <w:t xml:space="preserve">, 21.6.</w:t>
            </w:r>
            <w:r w:rsidR="00000000" w:rsidRPr="00000000" w:rsidDel="00000000">
              <w:rPr>
                <w:vertAlign w:val="superscript"/>
                <w:rtl w:val="0"/>
              </w:rPr>
              <w:t xml:space="preserve">13</w:t>
            </w:r>
            <w:r w:rsidR="00000000" w:rsidRPr="00000000" w:rsidDel="00000000">
              <w:rPr>
                <w:rtl w:val="0"/>
              </w:rPr>
              <w:t xml:space="preserve">, 21.6.</w:t>
            </w:r>
            <w:r w:rsidR="00000000" w:rsidRPr="00000000" w:rsidDel="00000000">
              <w:rPr>
                <w:vertAlign w:val="superscript"/>
                <w:rtl w:val="0"/>
              </w:rPr>
              <w:t xml:space="preserve">14</w:t>
            </w:r>
            <w:r w:rsidR="00000000" w:rsidRPr="00000000" w:rsidDel="00000000">
              <w:rPr>
                <w:rtl w:val="0"/>
              </w:rPr>
              <w:t xml:space="preserve">,  21.6.</w:t>
            </w:r>
            <w:r w:rsidR="00000000" w:rsidRPr="00000000" w:rsidDel="00000000">
              <w:rPr>
                <w:vertAlign w:val="superscript"/>
                <w:rtl w:val="0"/>
              </w:rPr>
              <w:t xml:space="preserve">15</w:t>
            </w:r>
            <w:r w:rsidR="00000000" w:rsidRPr="00000000" w:rsidDel="00000000">
              <w:rPr>
                <w:rtl w:val="0"/>
              </w:rPr>
              <w:t xml:space="preserve"> , 21.6.</w:t>
            </w:r>
            <w:r w:rsidR="00000000" w:rsidRPr="00000000" w:rsidDel="00000000">
              <w:rPr>
                <w:vertAlign w:val="superscript"/>
                <w:rtl w:val="0"/>
              </w:rPr>
              <w:t xml:space="preserve">16 </w:t>
            </w:r>
            <w:r w:rsidR="00000000" w:rsidRPr="00000000" w:rsidDel="00000000">
              <w:rPr>
                <w:rtl w:val="0"/>
              </w:rPr>
              <w:t xml:space="preserve">, 21.6.</w:t>
            </w:r>
            <w:r w:rsidR="00000000" w:rsidRPr="00000000" w:rsidDel="00000000">
              <w:rPr>
                <w:vertAlign w:val="superscript"/>
                <w:rtl w:val="0"/>
              </w:rPr>
              <w:t xml:space="preserve">17</w:t>
            </w:r>
            <w:r w:rsidR="00000000" w:rsidRPr="00000000" w:rsidDel="00000000">
              <w:rPr>
                <w:rtl w:val="0"/>
              </w:rPr>
              <w:t xml:space="preserve"> un 21.6.</w:t>
            </w:r>
            <w:r w:rsidR="00000000" w:rsidRPr="00000000" w:rsidDel="00000000">
              <w:rPr>
                <w:vertAlign w:val="superscript"/>
                <w:rtl w:val="0"/>
              </w:rPr>
              <w:t xml:space="preserve">18</w:t>
            </w:r>
            <w:r w:rsidR="00000000" w:rsidRPr="00000000" w:rsidDel="00000000">
              <w:rPr>
                <w:rtl w:val="0"/>
              </w:rPr>
              <w:t xml:space="preserve"> apakšpunktā minētās izmaksas kompensē 80 procentu apmērā, ievērojot šo noteikumu 42.</w:t>
            </w:r>
            <w:r w:rsidR="00000000" w:rsidRPr="00000000" w:rsidDel="00000000">
              <w:rPr>
                <w:vertAlign w:val="superscript"/>
                <w:rtl w:val="0"/>
              </w:rPr>
              <w:t xml:space="preserve">4</w:t>
            </w:r>
            <w:r w:rsidR="00000000" w:rsidRPr="00000000" w:rsidDel="00000000">
              <w:rPr>
                <w:rtl w:val="0"/>
              </w:rPr>
              <w:t xml:space="preserve">, 42.</w:t>
            </w:r>
            <w:r w:rsidR="00000000" w:rsidRPr="00000000" w:rsidDel="00000000">
              <w:rPr>
                <w:vertAlign w:val="superscript"/>
                <w:rtl w:val="0"/>
              </w:rPr>
              <w:t xml:space="preserve">5</w:t>
            </w:r>
            <w:r w:rsidR="00000000" w:rsidRPr="00000000" w:rsidDel="00000000">
              <w:rPr>
                <w:rtl w:val="0"/>
              </w:rPr>
              <w:t xml:space="preserve">, 42.</w:t>
            </w:r>
            <w:r w:rsidR="00000000" w:rsidRPr="00000000" w:rsidDel="00000000">
              <w:rPr>
                <w:vertAlign w:val="superscript"/>
                <w:rtl w:val="0"/>
              </w:rPr>
              <w:t xml:space="preserve">6</w:t>
            </w:r>
            <w:r w:rsidR="00000000" w:rsidRPr="00000000" w:rsidDel="00000000">
              <w:rPr>
                <w:rtl w:val="0"/>
              </w:rPr>
              <w:t xml:space="preserve">, 42.</w:t>
            </w:r>
            <w:r w:rsidR="00000000" w:rsidRPr="00000000" w:rsidDel="00000000">
              <w:rPr>
                <w:vertAlign w:val="superscript"/>
                <w:rtl w:val="0"/>
              </w:rPr>
              <w:t xml:space="preserve">7</w:t>
            </w:r>
            <w:r w:rsidR="00000000" w:rsidRPr="00000000" w:rsidDel="00000000">
              <w:rPr>
                <w:rtl w:val="0"/>
              </w:rPr>
              <w:t xml:space="preserve">, 42.</w:t>
            </w:r>
            <w:r w:rsidR="00000000" w:rsidRPr="00000000" w:rsidDel="00000000">
              <w:rPr>
                <w:vertAlign w:val="superscript"/>
                <w:rtl w:val="0"/>
              </w:rPr>
              <w:t xml:space="preserve">8</w:t>
            </w:r>
            <w:r w:rsidR="00000000" w:rsidRPr="00000000" w:rsidDel="00000000">
              <w:rPr>
                <w:rtl w:val="0"/>
              </w:rPr>
              <w:t xml:space="preserve">, 42.</w:t>
            </w:r>
            <w:r w:rsidR="00000000" w:rsidRPr="00000000" w:rsidDel="00000000">
              <w:rPr>
                <w:vertAlign w:val="superscript"/>
                <w:rtl w:val="0"/>
              </w:rPr>
              <w:t xml:space="preserve">10</w:t>
            </w:r>
            <w:r w:rsidR="00000000" w:rsidRPr="00000000" w:rsidDel="00000000">
              <w:rPr>
                <w:rtl w:val="0"/>
              </w:rPr>
              <w:t xml:space="preserve">, 42.</w:t>
            </w:r>
            <w:r w:rsidR="00000000" w:rsidRPr="00000000" w:rsidDel="00000000">
              <w:rPr>
                <w:vertAlign w:val="superscript"/>
                <w:rtl w:val="0"/>
              </w:rPr>
              <w:t xml:space="preserve">12</w:t>
            </w:r>
            <w:r w:rsidR="00000000" w:rsidRPr="00000000" w:rsidDel="00000000">
              <w:rPr>
                <w:rtl w:val="0"/>
              </w:rPr>
              <w:t xml:space="preserve">, 42.</w:t>
            </w:r>
            <w:r w:rsidR="00000000" w:rsidRPr="00000000" w:rsidDel="00000000">
              <w:rPr>
                <w:vertAlign w:val="superscript"/>
                <w:rtl w:val="0"/>
              </w:rPr>
              <w:t xml:space="preserve">19</w:t>
            </w:r>
            <w:r w:rsidR="00000000" w:rsidRPr="00000000" w:rsidDel="00000000">
              <w:rPr>
                <w:rtl w:val="0"/>
              </w:rPr>
              <w:t xml:space="preserve">, 42.</w:t>
            </w:r>
            <w:r w:rsidR="00000000" w:rsidRPr="00000000" w:rsidDel="00000000">
              <w:rPr>
                <w:vertAlign w:val="superscript"/>
                <w:rtl w:val="0"/>
              </w:rPr>
              <w:t xml:space="preserve">20</w:t>
            </w:r>
            <w:r w:rsidR="00000000" w:rsidRPr="00000000" w:rsidDel="00000000">
              <w:rPr>
                <w:rtl w:val="0"/>
              </w:rPr>
              <w:t xml:space="preserve">, 42.</w:t>
            </w:r>
            <w:r w:rsidR="00000000" w:rsidRPr="00000000" w:rsidDel="00000000">
              <w:rPr>
                <w:vertAlign w:val="superscript"/>
                <w:rtl w:val="0"/>
              </w:rPr>
              <w:t xml:space="preserve">21</w:t>
            </w:r>
            <w:r w:rsidR="00000000" w:rsidRPr="00000000" w:rsidDel="00000000">
              <w:rPr>
                <w:rtl w:val="0"/>
              </w:rPr>
              <w:t xml:space="preserve">, 42.</w:t>
            </w:r>
            <w:r w:rsidR="00000000" w:rsidRPr="00000000" w:rsidDel="00000000">
              <w:rPr>
                <w:vertAlign w:val="superscript"/>
                <w:rtl w:val="0"/>
              </w:rPr>
              <w:t xml:space="preserve">23</w:t>
            </w:r>
            <w:r w:rsidR="00000000" w:rsidRPr="00000000" w:rsidDel="00000000">
              <w:rPr>
                <w:rtl w:val="0"/>
              </w:rPr>
              <w:t xml:space="preserve"> , 43.</w:t>
            </w:r>
            <w:r w:rsidR="00000000" w:rsidRPr="00000000" w:rsidDel="00000000">
              <w:rPr>
                <w:vertAlign w:val="superscript"/>
                <w:rtl w:val="0"/>
              </w:rPr>
              <w:t xml:space="preserve">31</w:t>
            </w:r>
            <w:r w:rsidR="00000000" w:rsidRPr="00000000" w:rsidDel="00000000">
              <w:rPr>
                <w:rtl w:val="0"/>
              </w:rPr>
              <w:t xml:space="preserve">,  43.</w:t>
            </w:r>
            <w:r w:rsidR="00000000" w:rsidRPr="00000000" w:rsidDel="00000000">
              <w:rPr>
                <w:vertAlign w:val="superscript"/>
                <w:rtl w:val="0"/>
              </w:rPr>
              <w:t xml:space="preserve">33</w:t>
            </w:r>
            <w:r w:rsidR="00000000" w:rsidRPr="00000000" w:rsidDel="00000000">
              <w:rPr>
                <w:rtl w:val="0"/>
              </w:rPr>
              <w:t xml:space="preserve"> un 43.</w:t>
            </w:r>
            <w:r w:rsidR="00000000" w:rsidRPr="00000000" w:rsidDel="00000000">
              <w:rPr>
                <w:vertAlign w:val="superscript"/>
                <w:rtl w:val="0"/>
              </w:rPr>
              <w:t xml:space="preserve">34</w:t>
            </w:r>
            <w:r w:rsidR="00000000" w:rsidRPr="00000000" w:rsidDel="00000000">
              <w:rPr>
                <w:rtl w:val="0"/>
              </w:rPr>
              <w:t xml:space="preserve"> punktā minētos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Kļūdaini norādīta atsauce uz noteikumu punktu 43.</w:t>
            </w:r>
            <w:r w:rsidR="00000000" w:rsidRPr="00000000" w:rsidDel="00000000">
              <w:rPr>
                <w:vertAlign w:val="superscript"/>
                <w:rtl w:val="0"/>
              </w:rPr>
              <w:t xml:space="preserve">31</w:t>
            </w:r>
            <w:r w:rsidR="00000000" w:rsidRPr="00000000" w:rsidDel="00000000">
              <w:rPr>
                <w:rtl w:val="0"/>
              </w:rPr>
              <w:t xml:space="preserve">, 43.</w:t>
            </w:r>
            <w:r w:rsidR="00000000" w:rsidRPr="00000000" w:rsidDel="00000000">
              <w:rPr>
                <w:vertAlign w:val="superscript"/>
                <w:rtl w:val="0"/>
              </w:rPr>
              <w:t xml:space="preserve">33</w:t>
            </w:r>
            <w:r w:rsidR="00000000" w:rsidRPr="00000000" w:rsidDel="00000000">
              <w:rPr>
                <w:rtl w:val="0"/>
              </w:rPr>
              <w:t xml:space="preserve"> un 43.</w:t>
            </w:r>
            <w:r w:rsidR="00000000" w:rsidRPr="00000000" w:rsidDel="00000000">
              <w:rPr>
                <w:vertAlign w:val="superscript"/>
                <w:rtl w:val="0"/>
              </w:rPr>
              <w:t xml:space="preserve">34</w:t>
            </w:r>
            <w:r w:rsidR="00000000" w:rsidRPr="00000000" w:rsidDel="00000000">
              <w:rPr>
                <w:rtl w:val="0"/>
              </w:rPr>
              <w:t xml:space="preserve"> pareizā atsauce būtu uz punktu 42.</w:t>
            </w:r>
            <w:r w:rsidR="00000000" w:rsidRPr="00000000" w:rsidDel="00000000">
              <w:rPr>
                <w:vertAlign w:val="superscript"/>
                <w:rtl w:val="0"/>
              </w:rPr>
              <w:t xml:space="preserve">31</w:t>
            </w:r>
            <w:r w:rsidR="00000000" w:rsidRPr="00000000" w:rsidDel="00000000">
              <w:rPr>
                <w:rtl w:val="0"/>
              </w:rPr>
              <w:t xml:space="preserve">, 42.</w:t>
            </w:r>
            <w:r w:rsidR="00000000" w:rsidRPr="00000000" w:rsidDel="00000000">
              <w:rPr>
                <w:vertAlign w:val="superscript"/>
                <w:rtl w:val="0"/>
              </w:rPr>
              <w:t xml:space="preserve">33</w:t>
            </w:r>
            <w:r w:rsidR="00000000" w:rsidRPr="00000000" w:rsidDel="00000000">
              <w:rPr>
                <w:rtl w:val="0"/>
              </w:rPr>
              <w:t xml:space="preserve"> un 42.</w:t>
            </w:r>
            <w:r w:rsidR="00000000" w:rsidRPr="00000000" w:rsidDel="00000000">
              <w:rPr>
                <w:vertAlign w:val="superscript"/>
                <w:rtl w:val="0"/>
              </w:rPr>
              <w:t xml:space="preserve">34</w:t>
            </w:r>
            <w:r w:rsidR="00000000" w:rsidRPr="00000000" w:rsidDel="00000000">
              <w:rPr>
                <w:rtl w:val="0"/>
              </w:rPr>
              <w:t xml:space="preserve">.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tehniskais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21.8.5. šo noteikumu 21.6.</w:t>
            </w:r>
            <w:r w:rsidR="00000000" w:rsidRPr="00000000" w:rsidDel="00000000">
              <w:rPr>
                <w:vertAlign w:val="superscript"/>
                <w:rtl w:val="0"/>
              </w:rPr>
              <w:t xml:space="preserve">3</w:t>
            </w:r>
            <w:r w:rsidR="00000000" w:rsidRPr="00000000" w:rsidDel="00000000">
              <w:rPr>
                <w:rtl w:val="0"/>
              </w:rPr>
              <w:t xml:space="preserve">, 21.6.</w:t>
            </w:r>
            <w:r w:rsidR="00000000" w:rsidRPr="00000000" w:rsidDel="00000000">
              <w:rPr>
                <w:vertAlign w:val="superscript"/>
                <w:rtl w:val="0"/>
              </w:rPr>
              <w:t xml:space="preserve">4</w:t>
            </w:r>
            <w:r w:rsidR="00000000" w:rsidRPr="00000000" w:rsidDel="00000000">
              <w:rPr>
                <w:rtl w:val="0"/>
              </w:rPr>
              <w:t xml:space="preserve">, 21.6.</w:t>
            </w:r>
            <w:r w:rsidR="00000000" w:rsidRPr="00000000" w:rsidDel="00000000">
              <w:rPr>
                <w:vertAlign w:val="superscript"/>
                <w:rtl w:val="0"/>
              </w:rPr>
              <w:t xml:space="preserve">5</w:t>
            </w:r>
            <w:r w:rsidR="00000000" w:rsidRPr="00000000" w:rsidDel="00000000">
              <w:rPr>
                <w:rtl w:val="0"/>
              </w:rPr>
              <w:t xml:space="preserve">, 21.6.</w:t>
            </w:r>
            <w:r w:rsidR="00000000" w:rsidRPr="00000000" w:rsidDel="00000000">
              <w:rPr>
                <w:vertAlign w:val="superscript"/>
                <w:rtl w:val="0"/>
              </w:rPr>
              <w:t xml:space="preserve">6</w:t>
            </w:r>
            <w:r w:rsidR="00000000" w:rsidRPr="00000000" w:rsidDel="00000000">
              <w:rPr>
                <w:rtl w:val="0"/>
              </w:rPr>
              <w:t xml:space="preserve">, 21.6.</w:t>
            </w:r>
            <w:r w:rsidR="00000000" w:rsidRPr="00000000" w:rsidDel="00000000">
              <w:rPr>
                <w:vertAlign w:val="superscript"/>
                <w:rtl w:val="0"/>
              </w:rPr>
              <w:t xml:space="preserve">7</w:t>
            </w:r>
            <w:r w:rsidR="00000000" w:rsidRPr="00000000" w:rsidDel="00000000">
              <w:rPr>
                <w:rtl w:val="0"/>
              </w:rPr>
              <w:t xml:space="preserve">, 21.6.</w:t>
            </w:r>
            <w:r w:rsidR="00000000" w:rsidRPr="00000000" w:rsidDel="00000000">
              <w:rPr>
                <w:vertAlign w:val="superscript"/>
                <w:rtl w:val="0"/>
              </w:rPr>
              <w:t xml:space="preserve">8</w:t>
            </w:r>
            <w:r w:rsidR="00000000" w:rsidRPr="00000000" w:rsidDel="00000000">
              <w:rPr>
                <w:rtl w:val="0"/>
              </w:rPr>
              <w:t xml:space="preserve">, 21.6.</w:t>
            </w:r>
            <w:r w:rsidR="00000000" w:rsidRPr="00000000" w:rsidDel="00000000">
              <w:rPr>
                <w:vertAlign w:val="superscript"/>
                <w:rtl w:val="0"/>
              </w:rPr>
              <w:t xml:space="preserve">9</w:t>
            </w:r>
            <w:r w:rsidR="00000000" w:rsidRPr="00000000" w:rsidDel="00000000">
              <w:rPr>
                <w:rtl w:val="0"/>
              </w:rPr>
              <w:t xml:space="preserve">, 21.6.</w:t>
            </w:r>
            <w:r w:rsidR="00000000" w:rsidRPr="00000000" w:rsidDel="00000000">
              <w:rPr>
                <w:vertAlign w:val="superscript"/>
                <w:rtl w:val="0"/>
              </w:rPr>
              <w:t xml:space="preserve">12</w:t>
            </w:r>
            <w:r w:rsidR="00000000" w:rsidRPr="00000000" w:rsidDel="00000000">
              <w:rPr>
                <w:rtl w:val="0"/>
              </w:rPr>
              <w:t xml:space="preserve"> , 21.6.</w:t>
            </w:r>
            <w:r w:rsidR="00000000" w:rsidRPr="00000000" w:rsidDel="00000000">
              <w:rPr>
                <w:vertAlign w:val="superscript"/>
                <w:rtl w:val="0"/>
              </w:rPr>
              <w:t xml:space="preserve">13</w:t>
            </w:r>
            <w:r w:rsidR="00000000" w:rsidRPr="00000000" w:rsidDel="00000000">
              <w:rPr>
                <w:rtl w:val="0"/>
              </w:rPr>
              <w:t xml:space="preserve">, 21.6.</w:t>
            </w:r>
            <w:r w:rsidR="00000000" w:rsidRPr="00000000" w:rsidDel="00000000">
              <w:rPr>
                <w:vertAlign w:val="superscript"/>
                <w:rtl w:val="0"/>
              </w:rPr>
              <w:t xml:space="preserve">14</w:t>
            </w:r>
            <w:r w:rsidR="00000000" w:rsidRPr="00000000" w:rsidDel="00000000">
              <w:rPr>
                <w:rtl w:val="0"/>
              </w:rPr>
              <w:t xml:space="preserve">,  21.6.</w:t>
            </w:r>
            <w:r w:rsidR="00000000" w:rsidRPr="00000000" w:rsidDel="00000000">
              <w:rPr>
                <w:vertAlign w:val="superscript"/>
                <w:rtl w:val="0"/>
              </w:rPr>
              <w:t xml:space="preserve">15</w:t>
            </w:r>
            <w:r w:rsidR="00000000" w:rsidRPr="00000000" w:rsidDel="00000000">
              <w:rPr>
                <w:rtl w:val="0"/>
              </w:rPr>
              <w:t xml:space="preserve"> , 21.6.</w:t>
            </w:r>
            <w:r w:rsidR="00000000" w:rsidRPr="00000000" w:rsidDel="00000000">
              <w:rPr>
                <w:vertAlign w:val="superscript"/>
                <w:rtl w:val="0"/>
              </w:rPr>
              <w:t xml:space="preserve">16 </w:t>
            </w:r>
            <w:r w:rsidR="00000000" w:rsidRPr="00000000" w:rsidDel="00000000">
              <w:rPr>
                <w:rtl w:val="0"/>
              </w:rPr>
              <w:t xml:space="preserve">, 21.6.</w:t>
            </w:r>
            <w:r w:rsidR="00000000" w:rsidRPr="00000000" w:rsidDel="00000000">
              <w:rPr>
                <w:vertAlign w:val="superscript"/>
                <w:rtl w:val="0"/>
              </w:rPr>
              <w:t xml:space="preserve">17</w:t>
            </w:r>
            <w:r w:rsidR="00000000" w:rsidRPr="00000000" w:rsidDel="00000000">
              <w:rPr>
                <w:rtl w:val="0"/>
              </w:rPr>
              <w:t xml:space="preserve"> un 21.6.</w:t>
            </w:r>
            <w:r w:rsidR="00000000" w:rsidRPr="00000000" w:rsidDel="00000000">
              <w:rPr>
                <w:vertAlign w:val="superscript"/>
                <w:rtl w:val="0"/>
              </w:rPr>
              <w:t xml:space="preserve">18</w:t>
            </w:r>
            <w:r w:rsidR="00000000" w:rsidRPr="00000000" w:rsidDel="00000000">
              <w:rPr>
                <w:rtl w:val="0"/>
              </w:rPr>
              <w:t xml:space="preserve"> apakšpunktā minētās izmaksas kompensē 80 procentu apmērā, ievērojot šo noteikumu 42.</w:t>
            </w:r>
            <w:r w:rsidR="00000000" w:rsidRPr="00000000" w:rsidDel="00000000">
              <w:rPr>
                <w:vertAlign w:val="superscript"/>
                <w:rtl w:val="0"/>
              </w:rPr>
              <w:t xml:space="preserve">4</w:t>
            </w:r>
            <w:r w:rsidR="00000000" w:rsidRPr="00000000" w:rsidDel="00000000">
              <w:rPr>
                <w:rtl w:val="0"/>
              </w:rPr>
              <w:t xml:space="preserve">, 42.</w:t>
            </w:r>
            <w:r w:rsidR="00000000" w:rsidRPr="00000000" w:rsidDel="00000000">
              <w:rPr>
                <w:vertAlign w:val="superscript"/>
                <w:rtl w:val="0"/>
              </w:rPr>
              <w:t xml:space="preserve">5</w:t>
            </w:r>
            <w:r w:rsidR="00000000" w:rsidRPr="00000000" w:rsidDel="00000000">
              <w:rPr>
                <w:rtl w:val="0"/>
              </w:rPr>
              <w:t xml:space="preserve">, 42.</w:t>
            </w:r>
            <w:r w:rsidR="00000000" w:rsidRPr="00000000" w:rsidDel="00000000">
              <w:rPr>
                <w:vertAlign w:val="superscript"/>
                <w:rtl w:val="0"/>
              </w:rPr>
              <w:t xml:space="preserve">6</w:t>
            </w:r>
            <w:r w:rsidR="00000000" w:rsidRPr="00000000" w:rsidDel="00000000">
              <w:rPr>
                <w:rtl w:val="0"/>
              </w:rPr>
              <w:t xml:space="preserve">, 42.</w:t>
            </w:r>
            <w:r w:rsidR="00000000" w:rsidRPr="00000000" w:rsidDel="00000000">
              <w:rPr>
                <w:vertAlign w:val="superscript"/>
                <w:rtl w:val="0"/>
              </w:rPr>
              <w:t xml:space="preserve">7</w:t>
            </w:r>
            <w:r w:rsidR="00000000" w:rsidRPr="00000000" w:rsidDel="00000000">
              <w:rPr>
                <w:rtl w:val="0"/>
              </w:rPr>
              <w:t xml:space="preserve">, 42.</w:t>
            </w:r>
            <w:r w:rsidR="00000000" w:rsidRPr="00000000" w:rsidDel="00000000">
              <w:rPr>
                <w:vertAlign w:val="superscript"/>
                <w:rtl w:val="0"/>
              </w:rPr>
              <w:t xml:space="preserve">8</w:t>
            </w:r>
            <w:r w:rsidR="00000000" w:rsidRPr="00000000" w:rsidDel="00000000">
              <w:rPr>
                <w:rtl w:val="0"/>
              </w:rPr>
              <w:t xml:space="preserve">, 42.</w:t>
            </w:r>
            <w:r w:rsidR="00000000" w:rsidRPr="00000000" w:rsidDel="00000000">
              <w:rPr>
                <w:vertAlign w:val="superscript"/>
                <w:rtl w:val="0"/>
              </w:rPr>
              <w:t xml:space="preserve">10</w:t>
            </w:r>
            <w:r w:rsidR="00000000" w:rsidRPr="00000000" w:rsidDel="00000000">
              <w:rPr>
                <w:rtl w:val="0"/>
              </w:rPr>
              <w:t xml:space="preserve">, 42.</w:t>
            </w:r>
            <w:r w:rsidR="00000000" w:rsidRPr="00000000" w:rsidDel="00000000">
              <w:rPr>
                <w:vertAlign w:val="superscript"/>
                <w:rtl w:val="0"/>
              </w:rPr>
              <w:t xml:space="preserve">12</w:t>
            </w:r>
            <w:r w:rsidR="00000000" w:rsidRPr="00000000" w:rsidDel="00000000">
              <w:rPr>
                <w:rtl w:val="0"/>
              </w:rPr>
              <w:t xml:space="preserve">, 42.</w:t>
            </w:r>
            <w:r w:rsidR="00000000" w:rsidRPr="00000000" w:rsidDel="00000000">
              <w:rPr>
                <w:vertAlign w:val="superscript"/>
                <w:rtl w:val="0"/>
              </w:rPr>
              <w:t xml:space="preserve">19</w:t>
            </w:r>
            <w:r w:rsidR="00000000" w:rsidRPr="00000000" w:rsidDel="00000000">
              <w:rPr>
                <w:rtl w:val="0"/>
              </w:rPr>
              <w:t xml:space="preserve">, 42.</w:t>
            </w:r>
            <w:r w:rsidR="00000000" w:rsidRPr="00000000" w:rsidDel="00000000">
              <w:rPr>
                <w:vertAlign w:val="superscript"/>
                <w:rtl w:val="0"/>
              </w:rPr>
              <w:t xml:space="preserve">20</w:t>
            </w:r>
            <w:r w:rsidR="00000000" w:rsidRPr="00000000" w:rsidDel="00000000">
              <w:rPr>
                <w:rtl w:val="0"/>
              </w:rPr>
              <w:t xml:space="preserve">, 42.</w:t>
            </w:r>
            <w:r w:rsidR="00000000" w:rsidRPr="00000000" w:rsidDel="00000000">
              <w:rPr>
                <w:vertAlign w:val="superscript"/>
                <w:rtl w:val="0"/>
              </w:rPr>
              <w:t xml:space="preserve">21</w:t>
            </w:r>
            <w:r w:rsidR="00000000" w:rsidRPr="00000000" w:rsidDel="00000000">
              <w:rPr>
                <w:rtl w:val="0"/>
              </w:rPr>
              <w:t xml:space="preserve">, 42. </w:t>
            </w:r>
            <w:r w:rsidR="00000000" w:rsidRPr="00000000" w:rsidDel="00000000">
              <w:rPr>
                <w:vertAlign w:val="superscript"/>
                <w:rtl w:val="0"/>
              </w:rPr>
              <w:t xml:space="preserve">23</w:t>
            </w:r>
            <w:r w:rsidR="00000000" w:rsidRPr="00000000" w:rsidDel="00000000">
              <w:rPr>
                <w:rtl w:val="0"/>
              </w:rPr>
              <w:t xml:space="preserve">, 42.</w:t>
            </w:r>
            <w:r w:rsidR="00000000" w:rsidRPr="00000000" w:rsidDel="00000000">
              <w:rPr>
                <w:vertAlign w:val="superscript"/>
                <w:rtl w:val="0"/>
              </w:rPr>
              <w:t xml:space="preserve">31</w:t>
            </w:r>
            <w:r w:rsidR="00000000" w:rsidRPr="00000000" w:rsidDel="00000000">
              <w:rPr>
                <w:rtl w:val="0"/>
              </w:rPr>
              <w:t xml:space="preserve">,  42.</w:t>
            </w:r>
            <w:r w:rsidR="00000000" w:rsidRPr="00000000" w:rsidDel="00000000">
              <w:rPr>
                <w:vertAlign w:val="superscript"/>
                <w:rtl w:val="0"/>
              </w:rPr>
              <w:t xml:space="preserve">33</w:t>
            </w:r>
            <w:r w:rsidR="00000000" w:rsidRPr="00000000" w:rsidDel="00000000">
              <w:rPr>
                <w:rtl w:val="0"/>
              </w:rPr>
              <w:t xml:space="preserve"> un 42.</w:t>
            </w:r>
            <w:r w:rsidR="00000000" w:rsidRPr="00000000" w:rsidDel="00000000">
              <w:rPr>
                <w:vertAlign w:val="superscript"/>
                <w:rtl w:val="0"/>
              </w:rPr>
              <w:t xml:space="preserve">34</w:t>
            </w:r>
            <w:r w:rsidR="00000000" w:rsidRPr="00000000" w:rsidDel="00000000">
              <w:rPr>
                <w:rtl w:val="0"/>
              </w:rPr>
              <w:t xml:space="preserve"> punktā minētos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21.8.7. šo noteikumu </w:t>
            </w:r>
            <w:r w:rsidR="00000000" w:rsidRPr="00000000" w:rsidDel="00000000">
              <w:rPr>
                <w:rtl w:val="0"/>
              </w:rPr>
              <w:t xml:space="preserve">21.6.</w:t>
            </w:r>
            <w:r w:rsidR="00000000" w:rsidRPr="00000000" w:rsidDel="00000000">
              <w:rPr>
                <w:vertAlign w:val="superscript"/>
                <w:rtl w:val="0"/>
              </w:rPr>
              <w:t xml:space="preserve">11</w:t>
            </w:r>
            <w:r w:rsidR="00000000" w:rsidRPr="00000000" w:rsidDel="00000000">
              <w:rPr>
                <w:rtl w:val="0"/>
              </w:rPr>
              <w:t xml:space="preserve"> apakšpunktā minētās izmaksas kompensē 45 procentu apmērā, ievērojot šo noteikumu </w:t>
            </w:r>
            <w:r w:rsidR="00000000" w:rsidRPr="00000000" w:rsidDel="00000000">
              <w:rPr>
                <w:rtl w:val="0"/>
              </w:rPr>
              <w:t xml:space="preserve">42.</w:t>
            </w:r>
            <w:r w:rsidR="00000000" w:rsidRPr="00000000" w:rsidDel="00000000">
              <w:rPr>
                <w:vertAlign w:val="superscript"/>
                <w:rtl w:val="0"/>
              </w:rPr>
              <w:t xml:space="preserve">16</w:t>
            </w:r>
            <w:r w:rsidR="00000000" w:rsidRPr="00000000" w:rsidDel="00000000">
              <w:rPr>
                <w:rtl w:val="0"/>
              </w:rPr>
              <w:t xml:space="preserve"> punktā minētos nosacījumus, ja konferences, kongresa vai semināra organizētājs ir Latvijā reģistrēts vismaz divus gadus pirms konferences, kongresa vai semināra norises laika, komersants, nodibinājums vai biedrība, konferences, kongresa vai semināra ilgums ir līdz divām dienām, ja dalībnieki ir no Baltijas valstīm (Latvijas vai Lietuvas, vai Igaunijas), ja konference, kongress vai seminārs norisinās klātienē vai hibrīdpasākumu formā un ja konferencei, kongresam un semināram ir piesaistīti viens vai divi Latvijā reģistrēti pakalpojuma sniedzēji, kā arī pasākuma mārketinga materiālos tiek iekļauts aktuālais Latvijas Investīciju un attīstības aģentūras logo un norāde uz latvia.travel tīmekļvietni;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minētā punkta redakcija paredz, ka konferences, kongresa vai semināra ilgums var būt īsāks par divām dienām, kā bija sākotnēji? Lūdzam papildināt anotāciju un izziņu ar pamatojumu šāda veida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izmaiņas ir tehniskas, pasākuma ilgums netiek mainīts, bet tiek mainīta redakcija, lai būtu uztveramāka MKN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21.8.7. šo noteikumu </w:t>
            </w:r>
            <w:r w:rsidR="00000000" w:rsidRPr="00000000" w:rsidDel="00000000">
              <w:rPr>
                <w:rtl w:val="0"/>
              </w:rPr>
              <w:t xml:space="preserve">21.6.</w:t>
            </w:r>
            <w:r w:rsidR="00000000" w:rsidRPr="00000000" w:rsidDel="00000000">
              <w:rPr>
                <w:vertAlign w:val="superscript"/>
                <w:rtl w:val="0"/>
              </w:rPr>
              <w:t xml:space="preserve">11</w:t>
            </w:r>
            <w:r w:rsidR="00000000" w:rsidRPr="00000000" w:rsidDel="00000000">
              <w:rPr>
                <w:rtl w:val="0"/>
              </w:rPr>
              <w:t xml:space="preserve"> apakšpunktā minētās izmaksas kompensē 50 procentu apmērā, ievērojot šo noteikumu </w:t>
            </w:r>
            <w:r w:rsidR="00000000" w:rsidRPr="00000000" w:rsidDel="00000000">
              <w:rPr>
                <w:rtl w:val="0"/>
              </w:rPr>
              <w:t xml:space="preserve">42.</w:t>
            </w:r>
            <w:r w:rsidR="00000000" w:rsidRPr="00000000" w:rsidDel="00000000">
              <w:rPr>
                <w:vertAlign w:val="superscript"/>
                <w:rtl w:val="0"/>
              </w:rPr>
              <w:t xml:space="preserve">16</w:t>
            </w:r>
            <w:r w:rsidR="00000000" w:rsidRPr="00000000" w:rsidDel="00000000">
              <w:rPr>
                <w:rtl w:val="0"/>
              </w:rPr>
              <w:t xml:space="preserve"> punktā minētos nosacījumus, ja konferences, kongresa vai semināra organizētājs ir Latvijā reģistrēts vismaz divus gadus pirms konferences, kongresa vai semināra norises laika, komersants, nodibinājums vai biedrība, konferences, kongresa vai semināra ilgums ir līdz divām dienām, ja dalībnieki ir no Baltijas valstīm (Latvijas vai Lietuvas, vai Igaunijas), ja konference, kongress vai seminārs norisinās klātienē vai hibrīdpasākumu formā un ja konferencei, kongresam un semināram ir piesaistīti viens vai divi Latvijā reģistrēti pakalpojuma sniedzēji, kā arī pasākuma mārketinga materiālos tiek iekļauts aktuālais Latvijas Investīciju un attīstības aģentūras logo un norāde uz latvia.travel tīmekļvietni;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21.8.7. šo noteikumu </w:t>
            </w:r>
            <w:r w:rsidR="00000000" w:rsidRPr="00000000" w:rsidDel="00000000">
              <w:rPr>
                <w:rtl w:val="0"/>
              </w:rPr>
              <w:t xml:space="preserve">21.6.</w:t>
            </w:r>
            <w:r w:rsidR="00000000" w:rsidRPr="00000000" w:rsidDel="00000000">
              <w:rPr>
                <w:vertAlign w:val="superscript"/>
                <w:rtl w:val="0"/>
              </w:rPr>
              <w:t xml:space="preserve">11</w:t>
            </w:r>
            <w:r w:rsidR="00000000" w:rsidRPr="00000000" w:rsidDel="00000000">
              <w:rPr>
                <w:rtl w:val="0"/>
              </w:rPr>
              <w:t xml:space="preserve"> apakšpunktā minētās izmaksas kompensē 45 procentu apmērā, ievērojot šo noteikumu </w:t>
            </w:r>
            <w:r w:rsidR="00000000" w:rsidRPr="00000000" w:rsidDel="00000000">
              <w:rPr>
                <w:rtl w:val="0"/>
              </w:rPr>
              <w:t xml:space="preserve">42.</w:t>
            </w:r>
            <w:r w:rsidR="00000000" w:rsidRPr="00000000" w:rsidDel="00000000">
              <w:rPr>
                <w:vertAlign w:val="superscript"/>
                <w:rtl w:val="0"/>
              </w:rPr>
              <w:t xml:space="preserve">16</w:t>
            </w:r>
            <w:r w:rsidR="00000000" w:rsidRPr="00000000" w:rsidDel="00000000">
              <w:rPr>
                <w:rtl w:val="0"/>
              </w:rPr>
              <w:t xml:space="preserve"> punktā minētos nosacījumus, ja konferences, kongresa vai semināra organizētājs ir Latvijā reģistrēts vismaz divus gadus pirms konferences, kongresa vai semināra norises laika, komersants, nodibinājums vai biedrība, konferences, kongresa vai semināra ilgums ir līdz divām dienām, ja dalībnieki ir no Baltijas valstīm (Latvijas vai Lietuvas, vai Igaunijas), ja konference, kongress vai seminārs norisinās klātienē vai hibrīdpasākumu formā un ja konferencei, kongresam un semināram ir piesaistīti viens vai divi Latvijā reģistrēti pakalpojuma sniedzēji, kā arī pasākuma mārketinga materiālos tiek iekļauts aktuālais Latvijas Investīciju un attīstības aģentūras logo un norāde uz latvia.travel tīmekļvietni;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1.3. punkta 5. apakšpunktā norādīta atbalsta intensitāte 50% apmērā, bet noteikumu grozījumos norādīts 45% apmērā. Lūdzam precizēt, lai būtu vienādi norādīta informācija par atbalsta intensitāti gan anotācijā, gan noteikumu grozījumos.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precizējumi ir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21.8.7. šo noteikumu </w:t>
            </w:r>
            <w:r w:rsidR="00000000" w:rsidRPr="00000000" w:rsidDel="00000000">
              <w:rPr>
                <w:rtl w:val="0"/>
              </w:rPr>
              <w:t xml:space="preserve">21.6.</w:t>
            </w:r>
            <w:r w:rsidR="00000000" w:rsidRPr="00000000" w:rsidDel="00000000">
              <w:rPr>
                <w:vertAlign w:val="superscript"/>
                <w:rtl w:val="0"/>
              </w:rPr>
              <w:t xml:space="preserve">11</w:t>
            </w:r>
            <w:r w:rsidR="00000000" w:rsidRPr="00000000" w:rsidDel="00000000">
              <w:rPr>
                <w:rtl w:val="0"/>
              </w:rPr>
              <w:t xml:space="preserve"> apakšpunktā minētās izmaksas kompensē 50 procentu apmērā, ievērojot šo noteikumu </w:t>
            </w:r>
            <w:r w:rsidR="00000000" w:rsidRPr="00000000" w:rsidDel="00000000">
              <w:rPr>
                <w:rtl w:val="0"/>
              </w:rPr>
              <w:t xml:space="preserve">42.</w:t>
            </w:r>
            <w:r w:rsidR="00000000" w:rsidRPr="00000000" w:rsidDel="00000000">
              <w:rPr>
                <w:vertAlign w:val="superscript"/>
                <w:rtl w:val="0"/>
              </w:rPr>
              <w:t xml:space="preserve">16</w:t>
            </w:r>
            <w:r w:rsidR="00000000" w:rsidRPr="00000000" w:rsidDel="00000000">
              <w:rPr>
                <w:rtl w:val="0"/>
              </w:rPr>
              <w:t xml:space="preserve"> punktā minētos nosacījumus, ja konferences, kongresa vai semināra organizētājs ir Latvijā reģistrēts vismaz divus gadus pirms konferences, kongresa vai semināra norises laika, komersants, nodibinājums vai biedrība, konferences, kongresa vai semināra ilgums ir līdz divām dienām, ja dalībnieki ir no Baltijas valstīm (Latvijas vai Lietuvas, vai Igaunijas), ja konference, kongress vai seminārs norisinās klātienē vai hibrīdpasākumu formā un ja konferencei, kongresam un semināram ir piesaistīti viens vai divi Latvijā reģistrēti pakalpojuma sniedzēji, kā arī pasākuma mārketinga materiālos tiek iekļauts aktuālais Latvijas Investīciju un attīstības aģentūras logo un norāde uz latvia.travel tīmekļvietni;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23</w:t>
            </w:r>
            <w:r w:rsidR="00000000" w:rsidRPr="00000000" w:rsidDel="00000000">
              <w:rPr>
                <w:rtl w:val="0"/>
              </w:rPr>
              <w:t xml:space="preserve">8. transporta nomas pakalpojumu izmaksas Latvijā starptautiskā kultūras un sporta pasākuma dalībnieku kopīgai pārvadāšanai starp pasākuma norises vietām;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attiecībā uz plānota transporta tipiem, ko plāno iznomāt. Proti, vai ir plānots transportēšanas nolūkos izmantot ekonomiskās klases transportu vai koplietošanas autotransportu (autobusus)?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23</w:t>
            </w:r>
            <w:r w:rsidR="00000000" w:rsidRPr="00000000" w:rsidDel="00000000">
              <w:rPr>
                <w:rtl w:val="0"/>
              </w:rPr>
              <w:t xml:space="preserve">8. transporta nomas pakalpojumu izmaksas Latvijā starptautiskā kultūras un sporta pasākuma dalībnieku kopīgai pārvadāšanai starp pasākuma norises vietām;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24</w:t>
            </w:r>
            <w:r w:rsidR="00000000" w:rsidRPr="00000000" w:rsidDel="00000000">
              <w:rPr>
                <w:rtl w:val="0"/>
              </w:rPr>
              <w:t xml:space="preserve"> Maksimāli pieļaujamā atbalsta kopsumma šo noteikumu 18.13. apakšpunktā minētajām atbalstāmajām darbībām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22.,23. un 24. punktā veiktie grozījumi paredz būtiski samazināt maksimāli pieļaujamā atbalsta kopsumma šo noteikumu 18.13. apakšpunktā minētajām atbalstāmajām darbībām. Vēršam uzmanību, ka no noteikumu projekta anotācijā sniegtā skaidrojuma nerodas pārliecība, ka iepriekš minētie grozījumi sader ar tiesiskās paļāvības principu un kā tas ietekmēs jau izsniegto atbalstu saņēmējam, kas saņēmuši lielāku atbalstu par noteikumu projekta 22.,23. un 24. punktos ietverto pieļaujamo atbalstu. Tiesiskās paļāvības princips noteic, ka privātpersona var paļauties, ka iestādes rīcība ir tiesiska un konsekventa, tai skaitā persona var paļauties, ka tā noteiktajā laikā varēs īstenot tai iegūtās tiesības. Satversmes tiesa ir norādījusi (2009. gada 26. novembra spriedums lietā Nr. 2009-08-01[1]), ka gadījumā, kad normatīvā regulējuma grozījumu rezultātā notiek vai ir iespējama privātpersonu tiesiskā stāvokļa pasliktināšanās, tiesiskās paļāvības princips nodrošina šo personu tiesību aizsardzību, proti, persona var paļauties, ka tā noteiktajā laikā varēs īstenot tai iegūtās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 noteikumu projekta 22.,23. un 24. punktu redakcijas izriet regulējuma piemērošana ar atpakaļejošu spēku. Latvijas tiesību sistēmā nav piemērojamas tiesību normas ar atpakaļejošu spēku. Proti, likuma ''Par likumu un citu Saeimas, Valsts prezidenta un Ministru kabineta pieņemto aktu izsludināšanas, publicēšanas, spēkā stāšanās kārtību un spēkā esamību'' 9. pants noteic, ka normatīvajiem aktiem nav atpakaļejoša spēka, izņemot likumā īpaši paredzētus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projekta anotācijā izvērsti skaidrot, kā projektā paredzētie grozījumi par maksimālā atbalsta apmēra samazināšanu ietekmēs personas, kuras jau ir saņēmušas atbalstu (vai minētajām personām pasliktināsies tiesiski iegūtais stāvoklis), tai skaitā, vai atbalstu saņēmušās personas ir informētas par iespējamo grozījumu un tās brīvprātīgi piekritušas šādam grozījumam. Ja minētais grozījums negatīvi un bez būtiska pamatojuma ietekmēs personu jau iegūtās tiesības, Tieslietu ministrija nevar atbalstīt 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precizēt noteikumu projekta anotācijas I sadaļas 2. punktu atbilstoši Ministru kabineta 2009. gada 15. decembra instrukcijas Nr. 19 ''Tiesību akta projekta sākotnējās ietekmes izvērtēšanas kārtība'' (turpmāk – Instrukcija) 14. punktam, sniedzot izvērstu pamatojumu noteikumu projekta 22.,23. un 24. punktu grozījumu nepieciešamībai un lietderībai.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Satversmes tiesas 2009. gada 26. novembra spriedums lietā Nr. 2009-08-01; Pieejams: http://www.satv.tiesa.gov.lv/wp-content/uploads/2016/02/2009-08-01_Spriedums.pdf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attiecībā uz 18.13.apakspunktu ir paredzēts paplasīnāts atbalsts un tas ir secīgi saistīts ar 42.</w:t>
            </w:r>
            <w:r w:rsidR="00000000" w:rsidRPr="00000000" w:rsidDel="00000000">
              <w:rPr>
                <w:vertAlign w:val="superscript"/>
                <w:rtl w:val="0"/>
              </w:rPr>
              <w:t xml:space="preserve">23</w:t>
            </w:r>
            <w:r w:rsidR="00000000" w:rsidRPr="00000000" w:rsidDel="00000000">
              <w:rPr>
                <w:rtl w:val="0"/>
              </w:rPr>
              <w:t xml:space="preserve">8. līdz 42.</w:t>
            </w:r>
            <w:r w:rsidR="00000000" w:rsidRPr="00000000" w:rsidDel="00000000">
              <w:rPr>
                <w:vertAlign w:val="superscript"/>
                <w:rtl w:val="0"/>
              </w:rPr>
              <w:t xml:space="preserve">23</w:t>
            </w:r>
            <w:r w:rsidR="00000000" w:rsidRPr="00000000" w:rsidDel="00000000">
              <w:rPr>
                <w:rtl w:val="0"/>
              </w:rPr>
              <w:t xml:space="preserve">11.apakšpunktā noteikto izmaksu segšanu. Līdz ar to nav paredzēts samazināt atbalstu, bet paplašināt attiecināmo izmaksu pozīcijas de minimis regulējuma ietvaros pie noteiktiem atbalsta sliekšņiem. Attiecināmās izmaksas ir uzņēmuma brīva izvēle, vai tās pieteikt LIAA vai neiekļaut savos biznesa plānu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42.</w:t>
            </w:r>
            <w:r w:rsidR="00000000" w:rsidRPr="00000000" w:rsidDel="00000000">
              <w:rPr>
                <w:vertAlign w:val="superscript"/>
                <w:rtl w:val="0"/>
              </w:rPr>
              <w:t xml:space="preserve">24</w:t>
            </w:r>
            <w:r w:rsidR="00000000" w:rsidRPr="00000000" w:rsidDel="00000000">
              <w:rPr>
                <w:rtl w:val="0"/>
              </w:rPr>
              <w:t xml:space="preserve">apakšpunkts paredz samazinātu slieksni pasākumu apmeklētāju skaitam, t.i. līdz šim bija pieejams atbalsts, ja ārvalstu apmeklētāju un (vai) ārvalstu dalībnieku skaits starptautiskajā kultūras un sporta pasākumā, kā arī starptautiskajā izstādē ir ne mazāk kā 1000. At MKN grozījumiem, atbalsts stiek paredzēts, ja ārvalstu apmeklētāju un (vai) ārvalstu dalībnieku skaits starptautiskajā kultūras un sporta pasākumā, kā arī starptautiskajā izstādē ir ne mazāk kā 500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24</w:t>
            </w:r>
            <w:r w:rsidR="00000000" w:rsidRPr="00000000" w:rsidDel="00000000">
              <w:rPr>
                <w:rtl w:val="0"/>
              </w:rPr>
              <w:t xml:space="preserve"> Maksimāli pieļaujamā atbalsta kopsumma šo noteikumu 18.13. apakšpunktā minētajām atbalstāmajām darbībām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24</w:t>
            </w:r>
            <w:r w:rsidR="00000000" w:rsidRPr="00000000" w:rsidDel="00000000">
              <w:rPr>
                <w:rtl w:val="0"/>
              </w:rPr>
              <w:t xml:space="preserve"> Maksimāli pieļaujamā atbalsta kopsumma šo noteikumu 18.13. apakšpunktā minētajām atbalstāmajām darbībām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noteikumu projekta 37.,38. un 39. punktā veiktie grozījumi paredz būtiski samazināt maksimāli pieļaujamā atbalsta kopsummu šo noteikumu 18.13. apakšpunktā minētajām atbalstāmajām darbībām. Vēršam uzmanību, ka no noteikumu projekta anotācijā sniegtā skaidrojuma </w:t>
            </w:r>
            <w:r w:rsidR="00000000" w:rsidRPr="00000000" w:rsidDel="00000000">
              <w:rPr>
                <w:b w:val="1"/>
                <w:rtl w:val="0"/>
              </w:rPr>
              <w:t xml:space="preserve">nerodas pārliecība, ka iepriekš minētie grozījumi sader ar tiesiskās paļāvības principu un kā tas ietekmēs jau izsniegto atbalstu saņēmējam, kas saņēmuši lielāku atbalstu par noteikumu projekta 37.,38. un 39. punktos ietverto pieļaujamo atbalstu.</w:t>
            </w:r>
            <w:r w:rsidR="00000000" w:rsidRPr="00000000" w:rsidDel="00000000">
              <w:rPr>
                <w:rtl w:val="0"/>
              </w:rPr>
              <w:t xml:space="preserve"> Tiesiskās paļāvības princips noteic, ka privātpersona var paļauties, ka iestādes rīcība ir tiesiska un konsekventa, tai skaitā persona var paļauties, ka tā noteiktajā laikā varēs īstenot tai iegūtās tiesības. Satversmes tiesa ir norādījusi (2009. gada 26. novembra spriedums lietā Nr. 2009-08-01[1]), ka gadījumā, kad normatīvā regulējuma grozījumu rezultātā notiek vai ir iespējama privātpersonu tiesiskā stāvokļa pasliktināšanās, tiesiskās paļāvības princips nodrošina šo personu tiesību aizsardzību, proti, persona var paļauties, ka tā noteiktajā laikā varēs īstenot tai iegūtās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w:t>
            </w:r>
            <w:r w:rsidR="00000000" w:rsidRPr="00000000" w:rsidDel="00000000">
              <w:rPr>
                <w:b w:val="1"/>
                <w:rtl w:val="0"/>
              </w:rPr>
              <w:t xml:space="preserve">no noteikumu projekta 37.,38. un 39. punktu redakcijas izriet regulējuma piemērošana ar atpakaļejošu spēku.</w:t>
            </w:r>
            <w:r w:rsidR="00000000" w:rsidRPr="00000000" w:rsidDel="00000000">
              <w:rPr>
                <w:rtl w:val="0"/>
              </w:rPr>
              <w:t xml:space="preserve"> Latvijas tiesību sistēmā nav piemērojamas tiesību normas ar atpakaļejošu spēku. Proti, likuma ''Par likumu un citu Saeimas, Valsts prezidenta un Ministru kabineta pieņemto aktu izsludināšanas, publicēšanas, spēkā stāšanās kārtību un spēkā esamību'' 9. pants noteic, ka normatīvajiem aktiem nav atpakaļejoša spēka, izņemot likumā īpaši paredzētus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projekta anotācijā izvērsti skaidrot, kā projektā paredzētie grozījumi par maksimālā atbalsta apmēra samazināšanu ietekmēs personas, kuras jau ir saņēmušas atbalstu (vai minētajām personām pasliktināsies tiesiski iegūtais stāvoklis), tai skaitā, vai atbalstu saņēmušās personas ir informētas par iespējamo grozījumu un tās brīvprātīgi piekritušas šādam grozījumam. Ja minētais grozījums negatīvi un bez būtiska pamatojuma ietekmēs personu jau iegūtās tiesības, Tieslietu ministrija nevar atbalstīt 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precizēt noteikumu projekta anotācijas I sadaļas 2. punktu atbilstoši Ministru kabineta 2009. gada 15. decembra instrukcijas Nr. 19 ''Tiesību akta projekta sākotnējās ietekmes izvērtēšanas kārtība'' (turpmāk – Instrukcija) 14. punktam,</w:t>
            </w:r>
            <w:r w:rsidR="00000000" w:rsidRPr="00000000" w:rsidDel="00000000">
              <w:rPr>
                <w:b w:val="1"/>
                <w:rtl w:val="0"/>
              </w:rPr>
              <w:t xml:space="preserve"> sniedzot izvērstu pamatojumu noteikumu projekta 37.,38. un 39. punktu grozījumu nepieciešamībai un lietderībai.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Satversmes tiesas 2009. gada 26. novembra spriedums lietā Nr. 2009-08-01; Pieejams: http://www.satv.tiesa.gov.lv/wp-content/uploads/2016/02/2009-08-01_Spriedums.pdf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24</w:t>
            </w:r>
            <w:r w:rsidR="00000000" w:rsidRPr="00000000" w:rsidDel="00000000">
              <w:rPr>
                <w:rtl w:val="0"/>
              </w:rPr>
              <w:t xml:space="preserve"> Maksimāli pieļaujamā atbalsta kopsumma šo noteikumu 18.13. apakšpunktā minētajām atbalstāmajām darbībām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31</w:t>
            </w:r>
            <w:r w:rsidR="00000000" w:rsidRPr="00000000" w:rsidDel="00000000">
              <w:rPr>
                <w:rtl w:val="0"/>
              </w:rPr>
              <w:t xml:space="preserve">2. transporta pakalpojumu izmaksas Latvijā dalībnieku kopīgai pārvadāšanai starp darījumu tūrisma organizētajām norises vietām;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attiecībā uz plānota transporta tipiem, ko plāno iznomāt. Proti, vai ir plānots transportēšanas nolūkos izmantot ekonomiskās klases transportu vai koplietošanas autotransportu (autobusus)?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31</w:t>
            </w:r>
            <w:r w:rsidR="00000000" w:rsidRPr="00000000" w:rsidDel="00000000">
              <w:rPr>
                <w:rtl w:val="0"/>
              </w:rPr>
              <w:t xml:space="preserve">2. transporta pakalpojumu izmaksas Latvijā dalībnieku kopīgai pārvadāšanai starp darījumu tūrisma organizētajām norises vietām;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31</w:t>
            </w:r>
            <w:r w:rsidR="00000000" w:rsidRPr="00000000" w:rsidDel="00000000">
              <w:rPr>
                <w:rtl w:val="0"/>
              </w:rPr>
              <w:t xml:space="preserve">3. tūrisma objektu apmeklējuma izmaksas un gida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skaidrojumu, kā šīs izmaksas ir saistītas ar pasākuma mērķi un kā tās nodrošinās pasākuma mērķa sasniegšanu. Lūdzam attiecīgu skaidrojumu anotācijā sniegt arī attiecībā uz 42.</w:t>
            </w:r>
            <w:r w:rsidR="00000000" w:rsidRPr="00000000" w:rsidDel="00000000">
              <w:rPr>
                <w:vertAlign w:val="superscript"/>
                <w:rtl w:val="0"/>
              </w:rPr>
              <w:t xml:space="preserve">31</w:t>
            </w:r>
            <w:r w:rsidR="00000000" w:rsidRPr="00000000" w:rsidDel="00000000">
              <w:rPr>
                <w:rtl w:val="0"/>
              </w:rPr>
              <w:t xml:space="preserve">1. punktā iekļautajām attiecināmajām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veicinātu Latvijas kā tūrisma galamērķi konkurētspējīgu nosacījumu veidošanu, viens no atbalsta veidiem ir  ārvalstu atbilstošās nozares darījumu partneru piesaiste turpmāku tūrisma pakalpojumu piedāvāšanai starptautiskajā tirgū. Līdz ar to MKN projektā ir iekļautas darījumu tūrisma atbalsta pozīcijas, kas paredz pieaugošu tūrisma aktivitāti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31</w:t>
            </w:r>
            <w:r w:rsidR="00000000" w:rsidRPr="00000000" w:rsidDel="00000000">
              <w:rPr>
                <w:rtl w:val="0"/>
              </w:rPr>
              <w:t xml:space="preserve">3. tūrisma objektu apmeklējuma izmaksas un gida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32</w:t>
            </w:r>
            <w:r w:rsidR="00000000" w:rsidRPr="00000000" w:rsidDel="00000000">
              <w:rPr>
                <w:rtl w:val="0"/>
              </w:rPr>
              <w:t xml:space="preserve"> Viena kalendāra gada laikā viens gala labuma guvējs  šo noteikumu 43.31 punktā minētajām attiecināmajām izmaksām var saņemt atbalstu  ne vairāk kā 12 000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Kļūdaini norādīta atsauce uz noteikumu punktu 43.</w:t>
            </w:r>
            <w:r w:rsidR="00000000" w:rsidRPr="00000000" w:rsidDel="00000000">
              <w:rPr>
                <w:vertAlign w:val="superscript"/>
                <w:rtl w:val="0"/>
              </w:rPr>
              <w:t xml:space="preserve">31</w:t>
            </w:r>
            <w:r w:rsidR="00000000" w:rsidRPr="00000000" w:rsidDel="00000000">
              <w:rPr>
                <w:rtl w:val="0"/>
              </w:rPr>
              <w:t xml:space="preserve">, pareizā atsauce būtu uz punktu 42.</w:t>
            </w:r>
            <w:r w:rsidR="00000000" w:rsidRPr="00000000" w:rsidDel="00000000">
              <w:rPr>
                <w:vertAlign w:val="superscript"/>
                <w:rtl w:val="0"/>
              </w:rPr>
              <w:t xml:space="preserve">31</w:t>
            </w:r>
            <w:r w:rsidR="00000000" w:rsidRPr="00000000" w:rsidDel="00000000">
              <w:rPr>
                <w:rtl w:val="0"/>
              </w:rPr>
              <w:t xml:space="preserve">.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32</w:t>
            </w:r>
            <w:r w:rsidR="00000000" w:rsidRPr="00000000" w:rsidDel="00000000">
              <w:rPr>
                <w:rtl w:val="0"/>
              </w:rPr>
              <w:t xml:space="preserve"> Viena kalendāra gada laikā viens gala labuma guvējs  šo noteikumu 42.</w:t>
            </w:r>
            <w:r w:rsidR="00000000" w:rsidRPr="00000000" w:rsidDel="00000000">
              <w:rPr>
                <w:vertAlign w:val="superscript"/>
                <w:rtl w:val="0"/>
              </w:rPr>
              <w:t xml:space="preserve">31</w:t>
            </w:r>
            <w:r w:rsidR="00000000" w:rsidRPr="00000000" w:rsidDel="00000000">
              <w:rPr>
                <w:rtl w:val="0"/>
              </w:rPr>
              <w:t xml:space="preserve"> punktā minētajām attiecināmajām izmaksām var saņemt atbalstu  ne vairāk kā 12 000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 Šajos noteikumos minētās izmaksas ir attiecināmas ar 2015. gada 1. septembri, izņemot šo noteikumu 47. un 48. punktā minētās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minētais punkts daļēji dublē 48. punktā sniegto informāciju, lūdzam svītrot šo punktu un atrunāt visas attiecināmības datumus un laika periodus 48.punktā.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projekts neparedz grozīt 48.punktu, tehniska kļūme un dzēst 48.1.apakšpunkts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 Šajos noteikumos minētās izmaksas ir attiecināmas ar 2015. gada 1. septembri, izņemot šo noteikumu 47. un 48. punktā minētās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30. punktā norādītās atsauces uz Noteikumu 47. un 48. punktu. Pirmkārt, atsauce uz Noteikumu 47. punktu dublē Noteikumu 48. punkta regulējumu. Otrkārt, atsauce uz Noteikumu 48. punktu ir neloģiska un bez juridiskās slodzes. Attiecīgi nav saprotama noteikumu projekta 30. punktā ietverto grozījumu jēga un mērķis. Pamatojoties uz iepriekš minēto, lūdzam precizēt noteikumu projekta 30. punktu, lai veidotos loģisks un pamatots regulējums vai lūdzam svītrot  noteikumu projekta 30.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projekts neparedz grozīt 48.punktu.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Ja tiek pārkāptas regulas Nr.  </w:t>
            </w:r>
            <w:r w:rsidR="00000000" w:rsidRPr="00000000" w:rsidDel="00000000">
              <w:rPr>
                <w:rtl w:val="0"/>
              </w:rPr>
              <w:t xml:space="preserve">1407/2013</w:t>
            </w:r>
            <w:r w:rsidR="00000000" w:rsidRPr="00000000" w:rsidDel="00000000">
              <w:rPr>
                <w:rtl w:val="0"/>
              </w:rPr>
              <w:t xml:space="preserve">, regulas Nr.  </w:t>
            </w:r>
            <w:r w:rsidR="00000000" w:rsidRPr="00000000" w:rsidDel="00000000">
              <w:rPr>
                <w:rtl w:val="0"/>
              </w:rPr>
              <w:t xml:space="preserve">1408/2013</w:t>
            </w:r>
            <w:r w:rsidR="00000000" w:rsidRPr="00000000" w:rsidDel="00000000">
              <w:rPr>
                <w:rtl w:val="0"/>
              </w:rPr>
              <w:t xml:space="preserve"> vai regulas Nr.  </w:t>
            </w:r>
            <w:r w:rsidR="00000000" w:rsidRPr="00000000" w:rsidDel="00000000">
              <w:rPr>
                <w:rtl w:val="0"/>
              </w:rPr>
              <w:t xml:space="preserve">717/2014</w:t>
            </w:r>
            <w:r w:rsidR="00000000" w:rsidRPr="00000000" w:rsidDel="00000000">
              <w:rPr>
                <w:rtl w:val="0"/>
              </w:rPr>
              <w:t xml:space="preserve"> prasības, valsts atbalsta saņēmējs atmaksā finansējuma saņēmējam visu projekta ietvaros saņemto valsts atbalstu kopā ar procentiem, kuru likmi publicē Eiropas Komisija saskaņā ar Komisijas 2004. gada 21. aprīļa Regulas (EK) Nr.  </w:t>
            </w:r>
            <w:r w:rsidR="00000000" w:rsidRPr="00000000" w:rsidDel="00000000">
              <w:rPr>
                <w:rtl w:val="0"/>
              </w:rPr>
              <w:t xml:space="preserve">794/2004</w:t>
            </w:r>
            <w:r w:rsidR="00000000" w:rsidRPr="00000000" w:rsidDel="00000000">
              <w:rPr>
                <w:rtl w:val="0"/>
              </w:rPr>
              <w:t xml:space="preserve">, ar ko īsteno Padomes Regulu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(turpmāk – regula Nr.  </w:t>
            </w:r>
            <w:r w:rsidR="00000000" w:rsidRPr="00000000" w:rsidDel="00000000">
              <w:rPr>
                <w:rtl w:val="0"/>
              </w:rPr>
              <w:t xml:space="preserve">794/2004</w:t>
            </w:r>
            <w:r w:rsidR="00000000" w:rsidRPr="00000000" w:rsidDel="00000000">
              <w:rPr>
                <w:rtl w:val="0"/>
              </w:rPr>
              <w:t xml:space="preserve">), 10. pantu, tiem pieskaitot 100 bāzes punktus, no dienas, kad valsts atbalsts tika izmaksāts valsts atbalsta saņēmējam, līdz tā atgūšanas dienai, ievērojot regulas Nr.  </w:t>
            </w:r>
            <w:r w:rsidR="00000000" w:rsidRPr="00000000" w:rsidDel="00000000">
              <w:rPr>
                <w:rtl w:val="0"/>
              </w:rPr>
              <w:t xml:space="preserve">794/2004</w:t>
            </w:r>
            <w:r w:rsidR="00000000" w:rsidRPr="00000000" w:rsidDel="00000000">
              <w:rPr>
                <w:rtl w:val="0"/>
              </w:rPr>
              <w:t xml:space="preserve"> 11. pantā noteikto procentu likmes piemērošanas metodi.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08.06.2021 stājās spēkā grozījumi Komercdarbības atbalsta kontroles likumā, lūdzam atbalsta atgūšanas normu precizēt šādi.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regulas Nr. </w:t>
            </w:r>
            <w:r w:rsidR="00000000" w:rsidRPr="00000000" w:rsidDel="00000000">
              <w:rPr>
                <w:rtl w:val="0"/>
              </w:rPr>
              <w:t xml:space="preserve">1407/2013</w:t>
            </w:r>
            <w:r w:rsidR="00000000" w:rsidRPr="00000000" w:rsidDel="00000000">
              <w:rPr>
                <w:rtl w:val="0"/>
              </w:rPr>
              <w:t xml:space="preserve">, regulas Nr. </w:t>
            </w:r>
            <w:r w:rsidR="00000000" w:rsidRPr="00000000" w:rsidDel="00000000">
              <w:rPr>
                <w:rtl w:val="0"/>
              </w:rPr>
              <w:t xml:space="preserve">1408/2013</w:t>
            </w:r>
            <w:r w:rsidR="00000000" w:rsidRPr="00000000" w:rsidDel="00000000">
              <w:rPr>
                <w:rtl w:val="0"/>
              </w:rPr>
              <w:t xml:space="preserve"> vai regulas Nr. </w:t>
            </w:r>
            <w:r w:rsidR="00000000" w:rsidRPr="00000000" w:rsidDel="00000000">
              <w:rPr>
                <w:rtl w:val="0"/>
              </w:rPr>
              <w:t xml:space="preserve">717/2014</w:t>
            </w:r>
            <w:r w:rsidR="00000000" w:rsidRPr="00000000" w:rsidDel="00000000">
              <w:rPr>
                <w:rtl w:val="0"/>
              </w:rPr>
              <w:t xml:space="preserve"> prasības, valsts atbalsta saņēmējs atmaksā finansējuma saņēmējam visu projekta ietvaros saņemto valsts atbalstu kopā ar procentiem no līdzekļiem, kas ir brīvi no valsts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atbilstoši piedāvātai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Ja tiek pārkāptas regulas Nr. 1407/2013, regulas Nr. 1408/2013 vai regulas Nr. 717/2014 prasības, valsts atbalsta saņēmējs atmaksā finansējuma saņēmējam visu projekta ietvaros saņemto valsts atbalstu kopā ar procentiem no līdzekļiem, kas ir brīvi no valsts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Papildināt ar 42.</w:t>
            </w:r>
            <w:r w:rsidR="00000000" w:rsidRPr="00000000" w:rsidDel="00000000">
              <w:rPr>
                <w:vertAlign w:val="superscript"/>
                <w:rtl w:val="0"/>
              </w:rPr>
              <w:t xml:space="preserve">23</w:t>
            </w:r>
            <w:r w:rsidR="00000000" w:rsidRPr="00000000" w:rsidDel="00000000">
              <w:rPr>
                <w:rtl w:val="0"/>
              </w:rPr>
              <w:t xml:space="preserve">11.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COVID-19 pandēmijas radīto (piemēram, masku un testu iegāde un testu veikšana) izmaksu attiecināmību aicinām turpmāk atbildīgo iestādi izvērtēt iespēju minētās izmaksas attiecināt no netiešajām attiecināmajām izmaksām, ja tās ir paredzētas MK noteikumos par SAM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izvērtēts un nav iespējams pielietot, jo satur birokrātisku slogu, lai nodrošinātu aktivitātes izdevumu segšanu.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apakšsadaļā "Problēmas apraksts" pēdējās rindkopas pirmajā teikumā vārdu "apgūt" izteikt kā "investēt" vai "ieguldīt". Vēršam uzmanību, ka ES struktūrfondi netiek apgūti, bet investēti atbilstoši darbības programmas "Izaugsme un nodarbinātība" apstiprinātajām investīcijām.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labojums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5.1.punktā norādīto finansējuma apmēru, kam jāatbilst 5.punktā norādītajam apmēram.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ka noteikumi paredz  nodrošināt plašāku atbalstu tūrisma uzņēmumiem un pašvaldību aktivitātēm Latvijas tūrisma nozares kā galamērķa sekmēšanai, kā arī atbalstīt tirgu pārorientēšanu steidzamības kārtā tiek virzīti noteikumi ņemot laikā papildus pārdalīto finansējumu. Vienlaikus vēršam uzmanību, ka turpināsies darbs pie MKN grozījumu izstrādes, kuros tiks iestrādāts papildus finansējums pēc pabeigta 1.2.2.1. un 1.2.2.3. pasākuma MK noteikumu skaņošanas procesa.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6.punka pirmajā rindkopā precizēt 2022. un 2023.gadā plānoto kopējo finansējuma apmēru, ievērojot veiktās izmaiņās 3. un 5.ailē.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ka noteikumi paredz  nodrošināt plašāku atbalstu tūrisma uzņēmumiem un pašvaldību aktivitātēm Latvijas tūrisma nozares kā galamērķa sekmēšanai, kā arī atbalstīt tirgu pārorientēšanu steidzamības kārtā tiek virzīti noteikumi ņemot laikā papildus pārdalīto finansējumu. Vienlaikus vēršam uzmanību, ka turpināsies darbs pie MKN grozījumu izstrādes, kuros tiks iestrādāts papildus finansējums pēc pabeigta 1.2.2.1. un 1.2.2.3. pasākuma MK noteikumu skaņošanas procesa.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šiem MK noteikumu grozījumiem netiek palielināti rādītāji, lūdzam precizēt vai dzēst norādīto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dzēsta norādītā ietekme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2.Valsts kancelejai sagatavot noteikumu projektu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3.Pieņemt zināšanai, ka no Nr. 617 noteikumiem Darbības programmas "Izaugsme un nodarbinātība" 1.2.2. specifiskā atbalsta mērķa "Veicināt inovāciju ieviešanu komersantos" 1.2.2.1. pasākuma "Atbalsts nodarbināto apmācībām" pirmās un otrās projektu iesniegumu atlases kārtas īstenošanas noteikumi” tiks novirzīti 3 318 300 euro atbalsta programmas finansēšanai, kas tiek realizēta saskaņā ar Ministru kabineta 2015.gada 1.decembra noteikumiem Nr. 678 “Darbības programmas "Izaugsme un nodarbinātība" 3.2.1. specifiskā atbalsta mērķa "Palielināt augstas pievienotās vērtības produktu un pakalpojumu eksporta proporciju" 3.2.1.2. pasākuma "Starptautiskās konkurētspējas veicināšana" īstenošanas noteikumi”, līdz 2023. 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MK sēdes protokollēmuma projekta 3. punktu ar norādi, ka no 1.2.2.1. SAMP pārdala virssaistību finansējumu, ņemot vērā, ka 1.2.2.1.SAMP regulējošajos noteikumos virssaistību finansējums vēl nav aizstāts ar REACT-EU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no Nr. 617 noteikumiem Darbības programmas "Izaugsme un nodarbinātība" 1.2.2. specifiskā atbalsta mērķa "Veicināt inovāciju ieviešanu komersantos" 1.2.2.1. pasākuma "Atbalsts nodarbināto apmācībām" pirmās un otrās projektu iesniegumu atlases kārtas īstenošanas noteikumi” tiks novirzīts virssaistību finansējums 3 318 300 euro atbalsta programmas finansēšanai, kas tiek realizēta saskaņā ar Ministru kabineta 2015.gada 1.decembra noteikumiem Nr. 678 “Darbības programmas "Izaugsme un nodarbinātība" 3.2.1. specifiskā atbalsta mērķa "Palielināt augstas pievienotās vērtības produktu un pakalpojumu eksporta proporciju" 3.2.1.2. pasākuma "Starptautiskās konkurētspējas veicināšana" īstenošanas noteikumi”, līdz 2023. 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2.Valsts kancelejai sagatavot noteikumu projektu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Pasākumam pieejams React-EU finansējums 3 318 300 euro, tai skaitā Eiropas Reģionālās attīstības fonda finansējums - 2 820 555 euro, valsts budžeta finansējums - 497 745 euro, kas attiecas uz 14. un 18. apakšpunktā noteiktajām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MK noteikumu punktu 9.</w:t>
            </w:r>
            <w:r w:rsidR="00000000" w:rsidRPr="00000000" w:rsidDel="00000000">
              <w:rPr>
                <w:vertAlign w:val="superscript"/>
                <w:rtl w:val="0"/>
              </w:rPr>
              <w:t xml:space="preserve">1</w:t>
            </w:r>
            <w:r w:rsidR="00000000" w:rsidRPr="00000000" w:rsidDel="00000000">
              <w:rPr>
                <w:rtl w:val="0"/>
              </w:rPr>
              <w:t xml:space="preserve"> ar vārdiem, ka REACT EU finansējums ir attiecināmie izdevumi, pēc būtības salāgojot ar MK noteikumu 9.punkta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Pasākumam pieejamais papildu attiecināmais finansējums React-EU atbalsta pasākumam 3 318 300 euro, tai skaitā Eiropas Reģionālās attīstības fonda finansējums - 2 820 555 euro, valsts budžeta finansējums - 497 745 euro, kas attiecas uz 14. un 18. apakšpunktā noteiktajām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Pasākumam pieejams React-EU finansējums 3 318 300 euro, tai skaitā Eiropas Reģionālās attīstības fonda finansējums - 2 820 555 euro, valsts budžeta finansējums - 497 745 euro, kas attiecas uz 14. un 18. apakšpunktā noteiktajām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pieejams React-EU finansējums 3 318 300 euro, tai skaitā Eiropas Reģionālās attīstības fonda finansējums - 2 820 555 euro, valsts budžeta finansējums - 497 745 euro, kas attiecas uz 14. un 18. apakšpunktā noteiktajām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vērš uzmanību, ka jau ar šobrīd piešķirto finansējumu, pastāv risks, ka projektā 3.2.1.2/16/I/002 var netikt sasniegts uzraudzības rādītājs “komersantu skaits, kas saņem atbalstu” sasniedzamā vērtība uz 31.12.2023. - 275 komersanti, līdz 31.12.2021. sasniegts 62 komersanti, kas saņēmuši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9</w:t>
            </w:r>
            <w:r w:rsidR="00000000" w:rsidRPr="00000000" w:rsidDel="00000000">
              <w:rPr>
                <w:rtl w:val="0"/>
              </w:rPr>
              <w:t xml:space="preserve"> Viena kalendāra gada laikā viens gala labuma guvējs var saņemt atbalstu līdz 40 000 </w:t>
            </w:r>
            <w:r w:rsidR="00000000" w:rsidRPr="00000000" w:rsidDel="00000000">
              <w:rPr>
                <w:i w:val="1"/>
                <w:rtl w:val="0"/>
              </w:rPr>
              <w:t xml:space="preserve">euro</w:t>
            </w:r>
            <w:r w:rsidR="00000000" w:rsidRPr="00000000" w:rsidDel="00000000">
              <w:rPr>
                <w:rtl w:val="0"/>
              </w:rPr>
              <w:t xml:space="preserve">, piesakoties atbalstam saskaņā ar šo noteikumu </w:t>
            </w:r>
            <w:r w:rsidR="00000000" w:rsidRPr="00000000" w:rsidDel="00000000">
              <w:rPr>
                <w:rtl w:val="0"/>
              </w:rPr>
              <w:t xml:space="preserve">38.</w:t>
            </w:r>
            <w:r w:rsidR="00000000" w:rsidRPr="00000000" w:rsidDel="00000000">
              <w:rPr>
                <w:vertAlign w:val="superscript"/>
                <w:rtl w:val="0"/>
              </w:rPr>
              <w:t xml:space="preserve">18</w:t>
            </w:r>
            <w:r w:rsidR="00000000" w:rsidRPr="00000000" w:rsidDel="00000000">
              <w:rPr>
                <w:rtl w:val="0"/>
              </w:rPr>
              <w:t xml:space="preserve"> vai </w:t>
            </w:r>
            <w:r w:rsidR="00000000" w:rsidRPr="00000000" w:rsidDel="00000000">
              <w:rPr>
                <w:rtl w:val="0"/>
              </w:rPr>
              <w:t xml:space="preserve">42.</w:t>
            </w:r>
            <w:r w:rsidR="00000000" w:rsidRPr="00000000" w:rsidDel="00000000">
              <w:rPr>
                <w:vertAlign w:val="superscript"/>
                <w:rtl w:val="0"/>
              </w:rPr>
              <w:t xml:space="preserve">22</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punktā minēto atbalsta summa - līdz 60 000,00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 Viena kalendāra gada laikā viens gala labuma guvējs var saņemt atbalstu līdz </w:t>
            </w:r>
            <w:r w:rsidR="00000000" w:rsidRPr="00000000" w:rsidDel="00000000">
              <w:rPr>
                <w:b w:val="1"/>
                <w:rtl w:val="0"/>
              </w:rPr>
              <w:t xml:space="preserve">60 000</w:t>
            </w:r>
            <w:r w:rsidR="00000000" w:rsidRPr="00000000" w:rsidDel="00000000">
              <w:rPr>
                <w:rtl w:val="0"/>
              </w:rPr>
              <w:t xml:space="preserve"> euro, piesakoties atbalstam saskaņā ar šo noteikumu 38.18 vai 42.22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9</w:t>
            </w:r>
            <w:r w:rsidR="00000000" w:rsidRPr="00000000" w:rsidDel="00000000">
              <w:rPr>
                <w:rtl w:val="0"/>
              </w:rPr>
              <w:t xml:space="preserve"> Viena kalendāra gada laikā viens gala labuma guvējs var saņemt atbalstu līdz 60 000 </w:t>
            </w:r>
            <w:r w:rsidR="00000000" w:rsidRPr="00000000" w:rsidDel="00000000">
              <w:rPr>
                <w:i w:val="1"/>
                <w:rtl w:val="0"/>
              </w:rPr>
              <w:t xml:space="preserve">euro</w:t>
            </w:r>
            <w:r w:rsidR="00000000" w:rsidRPr="00000000" w:rsidDel="00000000">
              <w:rPr>
                <w:rtl w:val="0"/>
              </w:rPr>
              <w:t xml:space="preserve">, piesakoties atbalstam saskaņā ar šo noteikumu </w:t>
            </w:r>
            <w:r w:rsidR="00000000" w:rsidRPr="00000000" w:rsidDel="00000000">
              <w:rPr>
                <w:rtl w:val="0"/>
              </w:rPr>
              <w:t xml:space="preserve">38.</w:t>
            </w:r>
            <w:r w:rsidR="00000000" w:rsidRPr="00000000" w:rsidDel="00000000">
              <w:rPr>
                <w:vertAlign w:val="superscript"/>
                <w:rtl w:val="0"/>
              </w:rPr>
              <w:t xml:space="preserve">18</w:t>
            </w:r>
            <w:r w:rsidR="00000000" w:rsidRPr="00000000" w:rsidDel="00000000">
              <w:rPr>
                <w:rtl w:val="0"/>
              </w:rPr>
              <w:t xml:space="preserve"> vai </w:t>
            </w:r>
            <w:r w:rsidR="00000000" w:rsidRPr="00000000" w:rsidDel="00000000">
              <w:rPr>
                <w:rtl w:val="0"/>
              </w:rPr>
              <w:t xml:space="preserve">42.</w:t>
            </w:r>
            <w:r w:rsidR="00000000" w:rsidRPr="00000000" w:rsidDel="00000000">
              <w:rPr>
                <w:vertAlign w:val="superscript"/>
                <w:rtl w:val="0"/>
              </w:rPr>
              <w:t xml:space="preserve">22</w:t>
            </w:r>
            <w:r w:rsidR="00000000" w:rsidRPr="00000000" w:rsidDel="00000000">
              <w:rPr>
                <w:rtl w:val="0"/>
              </w:rPr>
              <w:t xml:space="preserve">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r w:rsidR="00000000" w:rsidRPr="00000000" w:rsidDel="00000000">
              <w:rPr>
                <w:vertAlign w:val="superscript"/>
                <w:rtl w:val="0"/>
              </w:rPr>
              <w:t xml:space="preserve">12</w:t>
            </w:r>
            <w:r w:rsidR="00000000" w:rsidRPr="00000000" w:rsidDel="00000000">
              <w:rPr>
                <w:rtl w:val="0"/>
              </w:rPr>
              <w:t xml:space="preserve"> šo noteikumu </w:t>
            </w:r>
            <w:r w:rsidR="00000000" w:rsidRPr="00000000" w:rsidDel="00000000">
              <w:rPr>
                <w:rtl w:val="0"/>
              </w:rPr>
              <w:t xml:space="preserve">18.13.</w:t>
            </w:r>
            <w:r w:rsidR="00000000" w:rsidRPr="00000000" w:rsidDel="00000000">
              <w:rPr>
                <w:rtl w:val="0"/>
              </w:rPr>
              <w:t xml:space="preserve"> apakšpunktā minētās darbības ietvaros gala labuma guvējiem (komersantiem, biedrībām, nodibinājumiem, izņemot tos, kuri darbojas zvejniecībā vai akvakultūrā vai nodarbojas ar lauksaimniecības produktu primāro ražošanu) nodrošina šo noteikumu </w:t>
            </w:r>
            <w:r w:rsidR="00000000" w:rsidRPr="00000000" w:rsidDel="00000000">
              <w:rPr>
                <w:rtl w:val="0"/>
              </w:rPr>
              <w:t xml:space="preserve">42.</w:t>
            </w:r>
            <w:r w:rsidR="00000000" w:rsidRPr="00000000" w:rsidDel="00000000">
              <w:rPr>
                <w:vertAlign w:val="superscript"/>
                <w:rtl w:val="0"/>
              </w:rPr>
              <w:t xml:space="preserve">23 </w:t>
            </w:r>
            <w:r w:rsidR="00000000" w:rsidRPr="00000000" w:rsidDel="00000000">
              <w:rPr>
                <w:rtl w:val="0"/>
              </w:rPr>
              <w:t xml:space="preserve">punktā minētās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punkta redakciju ar vārdu "pašvaldībām"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18.13. apakšpunktā minētās darbības ietvaros gala labuma guvējiem (komersantiem, biedrībām, nodibinājumiem,</w:t>
            </w:r>
            <w:r w:rsidR="00000000" w:rsidRPr="00000000" w:rsidDel="00000000">
              <w:rPr>
                <w:b w:val="1"/>
                <w:rtl w:val="0"/>
              </w:rPr>
              <w:t xml:space="preserve">pašvaldībām</w:t>
            </w:r>
            <w:r w:rsidR="00000000" w:rsidRPr="00000000" w:rsidDel="00000000">
              <w:rPr>
                <w:rtl w:val="0"/>
              </w:rPr>
              <w:t xml:space="preserve">, izņemot tos, kuri darbojas zvejniecībā vai akvakultūrā vai nodarbojas ar lauksaimniecības produktu primāro ražošanu) nodrošina šo noteikumu 42.23 punktā minētās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nav paredzēts, ka Starptautiskos kultūras un sporta pasākumus organizēs arī pašvaldības. Pašvaldības saņems atbalstu tikai tūrisma atbalsta darbību pieteikumā iekļautajām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r w:rsidR="00000000" w:rsidRPr="00000000" w:rsidDel="00000000">
              <w:rPr>
                <w:vertAlign w:val="superscript"/>
                <w:rtl w:val="0"/>
              </w:rPr>
              <w:t xml:space="preserve">12</w:t>
            </w:r>
            <w:r w:rsidR="00000000" w:rsidRPr="00000000" w:rsidDel="00000000">
              <w:rPr>
                <w:rtl w:val="0"/>
              </w:rPr>
              <w:t xml:space="preserve"> šo noteikumu </w:t>
            </w:r>
            <w:r w:rsidR="00000000" w:rsidRPr="00000000" w:rsidDel="00000000">
              <w:rPr>
                <w:rtl w:val="0"/>
              </w:rPr>
              <w:t xml:space="preserve">18.13.</w:t>
            </w:r>
            <w:r w:rsidR="00000000" w:rsidRPr="00000000" w:rsidDel="00000000">
              <w:rPr>
                <w:rtl w:val="0"/>
              </w:rPr>
              <w:t xml:space="preserve"> apakšpunktā minētās darbības ietvaros gala labuma guvējiem (komersantiem, biedrībām, nodibinājumiem, izņemot tos, kuri darbojas zvejniecībā vai akvakultūrā vai nodarbojas ar lauksaimniecības produktu primāro ražošanu) nodrošina šo noteikumu </w:t>
            </w:r>
            <w:r w:rsidR="00000000" w:rsidRPr="00000000" w:rsidDel="00000000">
              <w:rPr>
                <w:rtl w:val="0"/>
              </w:rPr>
              <w:t xml:space="preserve">42.</w:t>
            </w:r>
            <w:r w:rsidR="00000000" w:rsidRPr="00000000" w:rsidDel="00000000">
              <w:rPr>
                <w:vertAlign w:val="superscript"/>
                <w:rtl w:val="0"/>
              </w:rPr>
              <w:t xml:space="preserve">23 </w:t>
            </w:r>
            <w:r w:rsidR="00000000" w:rsidRPr="00000000" w:rsidDel="00000000">
              <w:rPr>
                <w:rtl w:val="0"/>
              </w:rPr>
              <w:t xml:space="preserve">punktā minētās izmaksu pozīcijas;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32</w:t>
            </w:r>
            <w:r w:rsidR="00000000" w:rsidRPr="00000000" w:rsidDel="00000000">
              <w:rPr>
                <w:rtl w:val="0"/>
              </w:rPr>
              <w:t xml:space="preserve"> Viena kalendāra gada laikā viens gala labuma guvējs  šo noteikumu 43.31 punktā minētajām attiecināmajām izmaksām var saņemt atbalstu  ne vairāk kā 12 000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atsauci uz noteikumu 43.</w:t>
            </w:r>
            <w:r w:rsidR="00000000" w:rsidRPr="00000000" w:rsidDel="00000000">
              <w:rPr>
                <w:vertAlign w:val="superscript"/>
                <w:rtl w:val="0"/>
              </w:rPr>
              <w:t xml:space="preserve">31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42.32 Viena kalendāra gada laikā viens gala labuma guvējs  šo noteikumu 43.</w:t>
            </w:r>
            <w:r w:rsidR="00000000" w:rsidRPr="00000000" w:rsidDel="00000000">
              <w:rPr>
                <w:vertAlign w:val="superscript"/>
                <w:rtl w:val="0"/>
              </w:rPr>
              <w:t xml:space="preserve">31</w:t>
            </w:r>
            <w:r w:rsidR="00000000" w:rsidRPr="00000000" w:rsidDel="00000000">
              <w:rPr>
                <w:rtl w:val="0"/>
              </w:rPr>
              <w:t xml:space="preserve"> punktā minētajām attiecināmajām izmaksām var saņemt atbalstu  ne vairāk kā 12 000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32</w:t>
            </w:r>
            <w:r w:rsidR="00000000" w:rsidRPr="00000000" w:rsidDel="00000000">
              <w:rPr>
                <w:rtl w:val="0"/>
              </w:rPr>
              <w:t xml:space="preserve"> Viena kalendāra gada laikā viens gala labuma guvējs  šo noteikumu 42.</w:t>
            </w:r>
            <w:r w:rsidR="00000000" w:rsidRPr="00000000" w:rsidDel="00000000">
              <w:rPr>
                <w:vertAlign w:val="superscript"/>
                <w:rtl w:val="0"/>
              </w:rPr>
              <w:t xml:space="preserve">31</w:t>
            </w:r>
            <w:r w:rsidR="00000000" w:rsidRPr="00000000" w:rsidDel="00000000">
              <w:rPr>
                <w:rtl w:val="0"/>
              </w:rPr>
              <w:t xml:space="preserve"> punktā minētajām attiecināmajām izmaksām var saņemt atbalstu  ne vairāk kā 12 000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 Šajos noteikumos minētās izmaksas ir attiecināmas ar 2015. gada 1. septembri, izņemot šo noteikumu 47. un 48. punktā minētās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un iekļaut 48.punktu vienā redakcijā to precizējot.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projekts neparedz grozīt 48.punktu, tehnsika kļūme un dzēst 48.1.apakšpunkts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22-TA-462</w:t>
    </w:r>
    <w:r>
      <w:br/>
    </w:r>
    <w:r w:rsidR="00000000" w:rsidRPr="00000000" w:rsidDel="00000000">
      <w:rPr>
        <w:rtl w:val="0"/>
      </w:rPr>
      <w:t xml:space="preserve">14.04.2022. 09.53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22-TA-462</w:t>
    </w:r>
    <w:r>
      <w:br/>
    </w:r>
    <w:r w:rsidR="00000000" w:rsidRPr="00000000" w:rsidDel="00000000">
      <w:rPr>
        <w:rtl w:val="0"/>
      </w:rPr>
      <w:t xml:space="preserve">14.04.2022. 09.53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Izziņa_22-TA-462.docx</dc:title>
</cp:coreProperties>
</file>

<file path=docProps/custom.xml><?xml version="1.0" encoding="utf-8"?>
<Properties xmlns="http://schemas.openxmlformats.org/officeDocument/2006/custom-properties" xmlns:vt="http://schemas.openxmlformats.org/officeDocument/2006/docPropsVTypes"/>
</file>