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25-TA-2577: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Mēslošanas līdzekļu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15:01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Darbības veicēja pienākumi, darbojoties ar mēslošanas līdzekļiem sprāgstvielu prekursoriem un amonija nitrāta mēslošanas līdzekļiem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pirms mēslošanas līdzekļa sprāgstvielu prekursora laišanas tirdzniecībā iesniedz dienestā tirdzniecības vietu sarakstu, norādot tirdzniecības vietas faktisko adresi. Ja darbību veicējs maina tirdzniecības vietu, tas nekavējoties informē dienestu par jaunās tirdzniecības vietas faktisko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katru gadu līdz 31. janvārim iesniedz dienestā informāciju par apjomu, kādā iepriekšējā gadā pārdoti mēslošanas līdzekļi sprāgstvielu prekursori. Darbību veicējs dokumentus par pārdotajiem mēslošanas līdzekļiem sprāgstvielu prekursoriem glabā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veicējam mēslošanas līdzekli, kurā amonija nitrāta slāpekļa saturs ir 16 procentu vai vairāk no mēslošanas līdzekļa masas, atļauts pārdot, ja grāmatvedību reglamentējošos normatīvajos aktos paredzētajā darījuma attaisnojuma dokumentā darbību veicējs papildus norāda pircēja apliecinājumu par mēslošanas līdzekļa izmantošanu tikai augu mēslošanai vai ja to iegādājas personai, kura uzrāda atļauju, kas izsniegta saskaņā ar normatīvajiem aktiem par civilām vajadzībām paredzēto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veicējs, kas pārdod mēslošanas līdzekli, kurā amonija nitrāta slāpekļa saturs ir 16 procentu vai vairāk no mēslošanas līdzekļa masas, papildus ziņām, kas noteiktas normatīvajos aktos par grāmatvedības kārtošanu un organizāciju, grāmatvedības reģistrā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konkrētā mēslošanas līdzekļa nosaukumu un pamatsastāvu;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nodokļu maksātāja reģistrācijas numuru juridiskai personai vai personas kodu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Darbību veicējs dienestā iesniedz detonācijnoturības testu, kas veikts ne agrāk kā pirms trīs mēnešiem, vai šā testa kopiju vismaz piecas darbdienas, bet ne agrāk kā 15 darbdienas pirms dienas, kad Latvijā no trešās valsts ieved amonija nitrāta mēslošanas līdzekli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Darbību veicējs vai tā pilnvarota persona, kas deklarē muitas procedūrai amonija nitrāta mēslošanas līdzekli ar augstu slāpekļa saturu, muitas deklarācijai pievieno vienu no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tranzīta muitas procedūrā — detonācijnoturības testu, kas veikts ne agrāk kā pirms trīs mēnešiem, vai šā testa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procedūrā laišanai brīvā apgrozībā — detonācijnoturības testu, kas veikts ne agrāk kā pirms trīs mēnešiem, vai šā testa kopiju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w:t>
            </w:r>
            <w:r w:rsidR="00000000" w:rsidRPr="00000000" w:rsidDel="00000000">
              <w:rPr>
                <w:vertAlign w:val="superscript"/>
                <w:rtl w:val="0"/>
              </w:rPr>
              <w:t xml:space="preserve">1 </w:t>
            </w:r>
            <w:r w:rsidR="00000000" w:rsidRPr="00000000" w:rsidDel="00000000">
              <w:rPr>
                <w:rtl w:val="0"/>
              </w:rPr>
              <w:t xml:space="preserve">panta pirmajā daļā noteikts, ka Uzņēmumu reģistrs likumā "Par Latvijas Republikas Uzņēmumu reģistru" un citos likumos noteiktajā kārtībā reģistrē komersantus un to filiāles, kooperatīvās sabiedrības, individuālos uzņēmumus, zemnieku vai zvejnieku saimniecības, ārvalstu komersanta filiāles, ārvalstu komersanta pārstāvniecības, ārvalstu komersanta pārstāvjus, organizāciju pārstāvniecības un pārstāvjus, Eiropas ekonomisko interešu grupas, Eiropas komercsabiedrības, Eiropas kooperatīvās sabiedrības, politiskās partijas, biedrības un nodibinājumus, arodbiedrības, reliģiskās organizācijas un to iestādes arī kā nodokļu maksātājus un piešķir vienoto vienpadsmitzīmju reģistrācijas numuru, kas vienlaikus ir arī </w:t>
            </w:r>
            <w:r w:rsidR="00000000" w:rsidRPr="00000000" w:rsidDel="00000000">
              <w:rPr>
                <w:b w:val="1"/>
                <w:rtl w:val="0"/>
              </w:rPr>
              <w:t xml:space="preserve">nodokļu maksātāja reģistrācijas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nodokļu normatīvajiem aktiem nodokļu maksātājam piešķir nodokļu maksātāja reģistrācijas kodu, nevis numuru. Ievērojot minēto, lūdzam aizstāt likumprojekta 7.pantā ietvertā 5.</w:t>
            </w:r>
            <w:r w:rsidR="00000000" w:rsidRPr="00000000" w:rsidDel="00000000">
              <w:rPr>
                <w:vertAlign w:val="superscript"/>
                <w:rtl w:val="0"/>
              </w:rPr>
              <w:t xml:space="preserve">1</w:t>
            </w:r>
            <w:r w:rsidR="00000000" w:rsidRPr="00000000" w:rsidDel="00000000">
              <w:rPr>
                <w:rtl w:val="0"/>
              </w:rPr>
              <w:t xml:space="preserve"> panta ceturtās daļas 2.punktā vārdus "nodokļu maksātāja reģistrācijas numuru"ar vārdiem "nodokļu maksātāja reģistrācijas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precizējumus likumprojekta 7.pantā ietvertā 5.</w:t>
            </w:r>
            <w:r w:rsidR="00000000" w:rsidRPr="00000000" w:rsidDel="00000000">
              <w:rPr>
                <w:vertAlign w:val="superscript"/>
                <w:rtl w:val="0"/>
              </w:rPr>
              <w:t xml:space="preserve">1</w:t>
            </w:r>
            <w:r w:rsidR="00000000" w:rsidRPr="00000000" w:rsidDel="00000000">
              <w:rPr>
                <w:rtl w:val="0"/>
              </w:rPr>
              <w:t xml:space="preserve"> panta ceturtās daļas 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Darbības veicēja pienākumi, darbojoties ar mēslošanas līdzekļiem sprāgstvielu prekursoriem un amonija nitrāta mēslošanas līdzekļiem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pirms mēslošanas līdzekļa sprāgstvielu prekursora laišanas tirdzniecībā iesniedz dienestā tirdzniecības vietu sarakstu, norādot tirdzniecības vietas faktisko adresi. Ja darbību veicējs maina tirdzniecības vietu, tas nekavējoties informē dienestu par jaunās tirdzniecības vietas faktisko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katru gadu līdz 31. janvārim iesniedz dienestā informāciju par apjomu, kādā iepriekšējā gadā pārdoti mēslošanas līdzekļi sprāgstvielu prekursori. Darbību veicējs dokumentus par pārdotajiem mēslošanas līdzekļiem sprāgstvielu prekursoriem glabā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veicējam mēslošanas līdzekli, kurā amonija nitrāta slāpekļa saturs ir 16 procentu vai vairāk no mēslošanas līdzekļa masas, atļauts pārdot, ja grāmatvedību reglamentējošos normatīvajos aktos paredzētajā darījuma attaisnojuma dokumentā darbību veicējs papildus norāda pircēja apliecinājumu par mēslošanas līdzekļa izmantošanu tikai augu mēslošanai vai ja to iegādājas personai, kura uzrāda atļauju, kas izsniegta saskaņā ar normatīvajiem aktiem par civilām vajadzībām paredzēto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veicējs, kas pārdod mēslošanas līdzekli, kurā amonija nitrāta slāpekļa saturs ir 16 procentu vai vairāk no mēslošanas līdzekļa masas, papildus ziņām, kas noteiktas normatīvajos aktos par grāmatvedības kārtošanu un organizāciju, grāmatvedības reģistrā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konkrētā mēslošanas līdzekļa nosaukumu un pamatsastāvu;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nodokļu maksātāja reģistrācijas kodu juridiskai personai vai personas kodu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Darbību veicējs dienestā iesniedz detonācijnoturības testu, kas veikts ne agrāk kā pirms trīs mēnešiem, vai šā testa kopiju vismaz piecas darbdienas, bet ne agrāk kā 15 darbdienas pirms dienas, kad Latvijā no trešās valsts ieved amonija nitrāta mēslošanas līdzekli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Darbību veicējs vai tā pilnvarota persona, kas deklarē muitas procedūrai amonija nitrāta mēslošanas līdzekli ar augstu slāpekļa saturu, muitas deklarācijai pievieno vienu no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tranzīta muitas procedūrā — detonācijnoturības testu, kas veikts ne agrāk kā pirms trīs mēnešiem, vai šā testa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procedūrā laišanai brīvā apgrozībā — detonācijnoturības testu, kas veikts ne agrāk kā pirms trīs mēnešiem, vai šā testa kopiju un dienesta apliecinājumu par detonācijnoturības testa atbilstību."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12:55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"7) detonācijnoturības atbilstību amonija nitrāta mēslošanas līdzeklim ar augstu slāpekļa saturu, īstenojot uzraudzību un kontroli (4. panta ceturtā daļa, kā arī 9. panta pirmās daļas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5.pants paredz izslēgt Mēslošanas līdzekļu aprites likuma 4.panta ceturto daļu, lūdzam precizēt likumprojekta 4.pantu par grozījumiem likuma 3.pantā, kurā ir minēta atsauce uz likuma 4.panta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likuma 4. panta ceturtā daļa netiks svītrota, bet likuma 4.panta ceturtās daļas ievaddaļā tiks aizstāti vārdi "amonija nitrāta mēslošanas līdzekļus, kuros slāpekļa saturs ir 28 procenti vai vairāk no mēslošanas līdzekļa masas" ar vārdiem amonija nitrāta mēslošanas līdzekļus ar augstu slāpekļa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detonācijnoturības atbilstību amonija nitrāta mēslošanas līdzeklim ar augstu slāpekļa saturu, īstenojot uzraudzību un kontroli (4. panta ceturtā daļa, kā arī 9. panta pirmās daļas 12. punkts)."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8.1.13. apakšpunktā nav pietiekami skaidri norādīts normatīvais regulējums, kas nosaka personas datu glabāšanas termiņu. Anotācijā ir norādīts, ka dokumenti tiek glabāti piecus gadus, jo šāds termiņš ir nepieciešams uzraudzības un kontroles funkciju veikšanai, tomēr nav norādīta konkrēta tiesību norma, no kuras izriet minētais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nepietiek ar vispārīgu skaidrojumu par glabāšanas termiņa nepieciešamību. Lūdzam anotāciju papildināt, norādot konkrēto normatīvā akta tiesību normu (pantu, daļu, punktu), kas pamato piecu gadu glabāšanas termiņu. Ja minētais termiņš izriet no cita normatīvā akta, lūdzam sniegt atsauci uz attiecīgo normatīvo aktu un tā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piecu gadu glabāšanas termiņa nepieciešamību un samērīgumu paredzētā mērķa sasniegšanai, kā arī norādīt, ka personas dati netiks glabāti ilgāk par normatīvajā regulējumā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apakšpunktā tika papildināts, norādot konkrēto regulas 2019/1148 preambulas punktu, kas pamato piecu gadu glabāšanas termiņu. Tika skaidrots anotācijā arī piecu gadu glabāšanas termiņa nepieciešamība un samērīgums ar paredzētā mērķa sasniegšanu, kā arī norādīts, ka personas dati netiks glabāti ilgāk par likumā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19:01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Mēslošanas līdzekļu aprites likuma 3.panta pirmās daļas sestajā punktā, ir nepieciešami attiecīgie grozījumi arī likuma 4.panta ceturtās daļas ievaddaļā, lietojot apzīmējumu - amonija nitrāta mēslošanas līdzeklis ar augstu slāpekļa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punkts tika precizēts, norādot, ka tiek izslēgta 4. pantā ceturtā daļa. Skaidrojam, ka likuma 4.panta ceturtās daļas prasība attiecībā uz muitas procedūrām ir pārnesta uz pašreizējo likuma 5.1 panta sesto daļu un izslēgta 4. pantā ceturtā daļa, līdz ar to nav nepieciešami attiecīgie grozījumi likuma 4.panta ceturtās daļas ievaddaļā attiecībā uz apzīmējumu - amonija nitrāta mēslošanas līdzeklis ar augstu slāpekļa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jo no projekta satura izriet, ka tajā paredzētas vairākas regulējuma izmaiņas un jauni pienākumi uzņēmējiem, līdz ar to nav pamatots secinājums, ka projekts neskar nevienu mērķa grupu un nerada ietekmi uz administratīvo slogu vai atbilstības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projekts paredz vairākas jaunas un precizētas prasības uzņēmējiem, kas darbojas ar mēslošanas līdzekļiem, tostarp tiek noteikts pienākums uzņēmējiem, kas mēslošanas līdzekļus tirgo internetā, informēt Valsts augu aizsardzības dienestu par tiešsaistes platformu, kurā tiek tirgots mēslošanas līdzeklis, kā arī paredzētas izmaiņas mēslošanas līdzekļu reģistrācijas kārtībā un citi pienākumi attiecībā uz mēslošanas līdzekļu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projektā paredzētās prasības rada administratīvā sloga un/vai atbilstības izmaksu izmaiņas regulējuma mērķa grupai, un saskaņā ar izvērtējuma rezultātu attiecīgi papildināt anotācijas 2.1.–2.5. apakšpunktu, identificējot ietekmētās mērķa grupas un veicot administratīvo izmaksu vai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https://www.mk.gov.lv/lv/metodiskas-rokasgramatas-un-apmacibas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grozījumiem tiek mainīti procedūru nosaukumi, saskaņā ar kurām mēslošanas līdzekļi tiek iekļauti Mēslošanas līdzekļu un substrātu valsts reģistrā, taču netiek mainīta ne kārtība, ne iesniedzamie dokumenti, lai dienests varētu noteikta veida mēslošanas līdzekļus iekļaut reģistrā. Spēkā esošais likums paredz dažādas procedūras mēslošanas līdzekļu iekļaušanai reģistrā – reģistrāciju, paziņošanu un atļauju saņemšanu, savukārt ar likuma grozījumiem visas šīs procedūras būs mēslošanas līdzekļu reģistrācija. Papildus skaidrojam, ka atļauju izsniegšana tiks aizstāta ar terminētu mēslošanas līdzekļu reģistrāciju uz diviem gadiem, nemainot iesniedzamos dokumentus pie šāda veida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pantā noteiktie darbību veicēja pienākumi nodrošinās to ka tiek sasniegti likuma 2. pantā noteiktie mērķi. Prasība nodrošināt, ka mēslošanas līdzekļa uzglabāšanas un pārvadāšanas apstākļi negatīvi neietekmē tā deklarēto kvalitāti, kā arī ražotāja pienākums nodrošināt mēslošanas līdzekļa kvalitātes kontroli, nodrošinās to, ka Latvijas tirgū nonāk tikai kvalitatīvi, cilvēku un dzīvnieku veselībai un videi droši mēslošanas līdzekļi. Administratīvās izmaksas darbību veicējiem un ražotājiem nav paredzamas, jo ar šo regulējumu netiek noteikti jauni pienākumi, bet tiek nostiprinātas jau esošās prasības attiecībā uz mēslošanas līdzekļu kvalitātes nodrošināšanu, uzglabāšanu, pārvadāšanu un kvalitātes kontroli. Līdz ar to darbību veicējiem un ražotājiem nav nepieciešams veikt papildu administratīvas darbības, iesniegt jaunus dokumentus vai ieviest jaunas procedūras, kas radītu papildu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izvērtējot tiesību akta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1.2. un 1.3. apakšpunktā sniegtās informācijas izriet, ka projekts paredz vairākas izmaiņas mēslošanas līdzekļu aprites regulējumā, tostarp tiek mainīta mēslošanas līdzekļu reģistrācijas kārtība, paredzot visu mēslošanas līdzekļu veidu reģistrāciju, tiek atcelta reģistrācijas apliecību izsniegšana, noteikti jauni pienākumi attiecībā uz informācijas saņemšanu par mēslošanas līdzekļu tirdzniecību internetā, kā arī precizēti gadījumi, kad Valsts augu aizsardzības dienests var izslēgt mēslošanas līdzekļus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izvērtēt projekta ietekmi uz institūcijām, identificēt projekta izpildē iesaistītās institūcijas un attiecīgi atspoguļot, vai projektā paredzētās izmaiņas ietekmē Valsts augu aizsardzības dienesta funkciju un uzdevumu izpildi, administratīvos procesus vai citus institucionālos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grozījumiem tiek mainīti procedūru nosaukumi, saskaņā ar kurām mēslošanas līdzekļi tiek iekļauti Mēslošanas līdzekļu un substrātu valsts reģistrā, taču netiek mainīta ne kārtība, ne iesniedzamie dokumenti, lai dienests varētu noteikta veida mēslošanas līdzekļus iekļaut reģistrā. Spēkā esošais likums paredz dažādas procedūras mēslošanas līdzekļu iekļaušanai reģistrā – reģistrāciju, paziņošanu un atļauju saņemšanu, savukārt ar likuma grozījumiem visas šīs procedūras būs mēslošanas līdzekļu reģistrācija. Papildus skaidrojam, ka atļauju izsniegšana tiks aizstāta ar terminētu mēslošanas līdzekļu reģistrāciju uz diviem gadiem, nemainot iesniedzamos dokumentus pie šāda veida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precizējumus 7. sadaļā attiecībā uz administratīvo slogu, kas samazināsies dienestam, jo turpmāk dienestam vairs nevajadzēs izsniegt komersantiem mēslošanas līdzekļu reģistrācijas apliecības. Kā arī papildinājumus anotācijas 7.4. sadaļas 4. un 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Izteikt 5.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grozījumu Mēslošanas līdzekļu aprites likuma 5.pantā izteikt kā atsevišķu pantu, nevis apvienot ar grozījumiem minētā likuma 4.pantā.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pašreizējo likumprojekta 5. un 6.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"18. Dienests līdz 2027. gada 1. martam no reģistra izslēdz mēslošanas līdzekļus ar marķējumu "EK mēslošanas līdzeklis". Pēc 2027. gada 1. marta tirgū atļauts darīt pieejamus tos EK mēslošanas līdzekļus, kas ražoti līdz 2022.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Dienests no reģistra izslēdz ES mēslošanas līdzekļus ar CE zīmi pēc tam, kad ir iestājies pēdējais no šādiem datumiem: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gada 1. 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datums, līdz kuram ES mēslošanas līdzekļi ar CE zīmi ir atļauts izmantot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pieci gadi pēc datuma, kad ES mēslošanas līdzeklis ar CE zīmi iekļauts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Ministru kabinets līdz 2027. gada 1. decembrim izdara grozījumus šādos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1. septembra noteikumos Nr. 506 "Mēslošanas līdzekļu un substrātu identifikācijas, kvalitātes atbilstības novērtēšanas un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likumprojektu tiek izslēgta valsts nodeva par "atļaujas saņemšanu mēslošanas līdzekļa un substrāta ievešanai vai tirdzniecībai", aicinām izvērtēt nepieciešamību pārejas noteikumus precizēt, lai izvairītos no situācijas, kad no likuma nodeva izslēgta, taču noteikumos tā joprojām ir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iespējamais risinājums varētu būt jau anotācijā ietvertais (taču attiecīgajā normā tas neuzrādās):</w:t>
            </w:r>
            <w:r w:rsidR="00000000" w:rsidRPr="00000000" w:rsidDel="00000000">
              <w:rPr>
                <w:i w:val="1"/>
                <w:rtl w:val="0"/>
              </w:rPr>
              <w:t xml:space="preserve"> "Likums papildināts ar pārejas noteikumu 20. punktu, nosakot, ka līdz atbilstošo Ministru kabineta noteikumu spēkā stāšanās dienai, bet ne ilgāk kā līdz 2027. gada 1. decembrim ir piemērojami pašlaik spēkā esošie noteikumi Nr. 506 un noteikumi Nr. 83, ciktāl tie nav pretrunā ar šo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pārejas noteikumu 20. punktu (likumprojekta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Dienests līdz 2027. gada 1. martam no reģistra izslēdz mēslošanas līdzekļus ar marķējumu "EK mēslošanas līdzeklis". Pēc 2027. gada 1. marta tirgū atļauts darīt pieejamus tos EK mēslošanas līdzekļus, kas ražoti līdz 2022.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Dienests no reģistra izslēdz ES mēslošanas līdzekļus ar CE zīmi pēc tam, kad ir iestājies pēdējais no šādiem datumiem: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gada 1. 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datums, līdz kuram ES mēslošanas līdzekļi ar CE zīmi ir atļauts izmantot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pieci gadi pēc datuma, kad ES mēslošanas līdzeklis ar CE zīmi iekļauts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Līdz atbilstošo Ministru kabineta noteikumu spēkā stāšanās dienai, bet ne ilgāk kā līdz 2027. gada 1. decembrim ir piemērojami šādi Ministru kabineta noteikumi,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2015. gada 1. septembra noteikumi Nr. 506 "Mēslošanas līdzekļu un substrātu identifikācijas, kvalitātes atbilstības novērtēšanas un tirdzniecības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2007. gada 30. janvāra noteikumi Nr. 83 "Noteikumi par valsts nodevu par mēslošanas līdzekļa un substrāta reģistrāciju vai atļaujas saņemšanu mēslošanas līdzekļa un substrāta ievešanai vai tirdzniecībai, kā arī tās maksāšanas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sniegto projekta mērķa aprakstu, formulējot to tā, lai tiktu akcentēts projekta sasniedzamais rezultāts un regulējuma pilnveidošanas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mērķa apraksts pēc būtības uzskaita projektā paredzētās izmaiņas un atsevišķus regulējuma risinājumus, tomēr nesniedz skaidru priekšstatu par projekta sasniedzamo rezultātu un risināmo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informāciju anotācijas 1.2. apakšpunktā "Mērķa apraksts"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likumprojektā iekļauto normu īstenošanu Valsts augu aizsardzības dienests nodrošinās esošo budžeta līdzekļu ietvaros, neradot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3. sadaļas 3. punktā tekstu pie “Cita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punktā "Cita informācija" sniegt skaidrojumu, ka grozījumi likuma 16.pantā neietekmē paredzētos ieņēmumus no nodevas un tie saglabāsies iepriekš plānotajā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fiskālo ietekmi, un plānotie ieņēmumi no nodevas saglabāsies iepriekš plānotajā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3. sadaļas 3. punktā tekstu pie “Cita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17.06.2026. 16:47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(Mēslošanas līdzekļu aprites likuma 1. panta septītā daļa) ietverta atsauce uz </w:t>
            </w:r>
            <w:r w:rsidR="00000000" w:rsidRPr="00000000" w:rsidDel="00000000">
              <w:rPr>
                <w:i w:val="1"/>
                <w:rtl w:val="0"/>
              </w:rPr>
              <w:t xml:space="preserve">Eiropas Parlamenta un Padomes 2019. gada 19. marta Regulu (ES) 2019/515 par citā dalībvalstī likumīgi tirgotu preču savstarpēju atzīšanu un regulas (EK) Nr. 764/2008 atcelšanu</w:t>
            </w:r>
            <w:r w:rsidR="00000000" w:rsidRPr="00000000" w:rsidDel="00000000">
              <w:rPr>
                <w:rtl w:val="0"/>
              </w:rPr>
              <w:t xml:space="preserve">, kā arī likumprojekta 8. pantā (Mēslošanas līdzekļu aprites likuma 8. panta pirmā daļa) ietverta atsauce uz </w:t>
            </w:r>
            <w:r w:rsidR="00000000" w:rsidRPr="00000000" w:rsidDel="00000000">
              <w:rPr>
                <w:i w:val="1"/>
                <w:rtl w:val="0"/>
              </w:rPr>
              <w:t xml:space="preserve">Eiropas Parlamenta un Padomes 2019. gada 5. jūnija Regulu (ES) 2019/1000, ar ko nosaka noteikumus par to, kā tirgū dara pieejamus ES mēslošanas līdzekļus, un ar ko groza Regulas (EK) Nr. 1069/2009 un (EK) Nr. 1107/2009 un atceļ Regulu (EK) Nr. 2003/2003</w:t>
            </w:r>
            <w:r w:rsidR="00000000" w:rsidRPr="00000000" w:rsidDel="00000000">
              <w:rPr>
                <w:rtl w:val="0"/>
              </w:rPr>
              <w:t xml:space="preserve">. (turpmāk - Regula 2019/1009). Ievērojot minēto, lūdzam minēto regulu un likumprojekta sasaisti atspoguļot anotācijas 5.4. sadaļas 1. tabulā, it īpaši skaidrojot, vai likumprojekta 8. pantā atrunātais: "</w:t>
            </w:r>
            <w:r w:rsidR="00000000" w:rsidRPr="00000000" w:rsidDel="00000000">
              <w:rPr>
                <w:i w:val="1"/>
                <w:rtl w:val="0"/>
              </w:rPr>
              <w:t xml:space="preserve">ja tie atbilst regulas 2019/1009 nosacījumiem </w:t>
            </w:r>
            <w:r w:rsidR="00000000" w:rsidRPr="00000000" w:rsidDel="00000000">
              <w:rPr>
                <w:i w:val="1"/>
                <w:u w:val="single"/>
                <w:rtl w:val="0"/>
              </w:rPr>
              <w:t xml:space="preserve">un tirgū tiek laisti ar identifikācijas marķējuma, etiķetes vai pavaddokumenta tekstu latviešu valodā</w:t>
            </w:r>
            <w:r w:rsidR="00000000" w:rsidRPr="00000000" w:rsidDel="00000000">
              <w:rPr>
                <w:rtl w:val="0"/>
              </w:rPr>
              <w:t xml:space="preserve">", nepārkāpj dalībvalsts rīcības brīvību iepretim Regulai 2019/1009, uzliekot papildus prasības. Tāpat lūdzam skaidrot likumprojekta 14. panta (Mēslošanas līdzekļu aprites likuma pārejas noteikumu 18. punkts) atbilstību Regulai 2019/1009.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anotācijas tabulas mērķis ir parādīt, kā nacionālais tiesību akts atbilst attiecīgajam Eiropas Savienības tiesību aktam un nodrošina tā prasību izpildi.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1. sadaļā skaidrota likumprojekta sasaiste ar </w:t>
            </w:r>
            <w:r w:rsidR="00000000" w:rsidRPr="00000000" w:rsidDel="00000000">
              <w:rPr>
                <w:i w:val="1"/>
                <w:rtl w:val="0"/>
              </w:rPr>
              <w:t xml:space="preserve">Eiropas Parlamenta un Padomes 2019. gada 20. jūnija Regulu (ES) 2019/1148 par sprāgstvielu prekursoru tirdzniecību un lietošanu, ar ko groza Regulu (EK) Nr. 1907/2006 un atceļ Regulu (ES) Nr. 98/2013</w:t>
            </w:r>
            <w:r w:rsidR="00000000" w:rsidRPr="00000000" w:rsidDel="00000000">
              <w:rPr>
                <w:rtl w:val="0"/>
              </w:rPr>
              <w:t xml:space="preserve"> un </w:t>
            </w:r>
            <w:r w:rsidR="00000000" w:rsidRPr="00000000" w:rsidDel="00000000">
              <w:rPr>
                <w:i w:val="1"/>
                <w:rtl w:val="0"/>
              </w:rPr>
              <w:t xml:space="preserve">Eiropas Parlamenta un Padomes 2019. gada 20. jūnija Regulu (ES) 2019/1020 par tirgus uzraudzību un produktu atbilstību un ar ko groza Direktīvu 2004/42/EK un Regulas (EK) Nr. 765/2008 un (ES) Nr. 305/2011</w:t>
            </w:r>
            <w:r w:rsidR="00000000" w:rsidRPr="00000000" w:rsidDel="00000000">
              <w:rPr>
                <w:rtl w:val="0"/>
              </w:rPr>
              <w:t xml:space="preserve">. Attiecīgi lūdzam arī par šīm regulām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skatīt precizēto anotācijas 5. sadaļu. Informējam, ka ar likuma grozījumu stāšanos spēkā Latvijā vairs nebūs obligāta ES mēslošanas līdzekļu ar CE zīmi uzskaite, tā vietā komersantiem tiks dota iespēja tos brīvprātīgi pieteikt iekļaušanai Kultūraugu uzraudzības valsts informācijas sistēmas mēslošanas līdzekļu un substrātu valsts reģistrā (turpmāk – reģistrs) uz pieciem gadiem. Līdz ar to visi šobrīd reģistrā atrodamie ES mēslošanas līdzekļi ar CE zīmi, līdz noteiktam laika periodam, tiks izslēgti. Tiks izslēgti no reģistra arī mēslošanas līdzekļi ar marķējumu "EK mēslošanas līdzeklis". Regulas 2019/1009 52. pants nosaka, ka dalībvalstis nekavē to, ka tirgū tiek darīti pieejami mēslošanas līdzekļi, kas kā regulai (EK) Nr. 2003/2003 atbilstoši mēslošanas līdzekļi ar apzīmējumu “EK mēslošanas līdzeklis” tirgū laisti pirms 2022. gada 16. jūlija. Līdz ar to regulas 2019/1009 52. punktā paredzētā prasība tiek noteikta likuma pārejas noteikumu 18. punktā, paredzot, ka pēc 2027. gada 1. marta tirgū atļauts būs darīt pieejamus tos EK mēslošanas līdzekļus, kas ražoti līdz 2022. gada 15. jūlijam. Skaidrojam, ka regula 2019/1009 nenosaka prasības ES mēslošanas līdzekļu ar CE zīmi reģistrācijai dalībvalstī, tā ir katras dalībvalsts brīvprātīga izvēle reģistrēt tos ES mēslošanas līdzekļus ar CE zīmi, kurus paredzēts laist attiecīgās dalībvalsts tirgū. Reģistrācijas prasības nebija noteiktas arī spēku zaudējušajā regulā Nr. 2003/2003. Šobrīd Latvijā ir spēkā prasība, ka ir jāreģistrē (jāpiesaka uzskaitē) ES mēslošanas līdzekļi ar CE zīmi, kurus ir paredzēts laist Latvijas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fizisko personu datu apstrādi, piemēram, likumprojekta 6. pants paredz grāmatvedības reģistrā norādīt personas kodu, lūdzam veikt likumprojekta ietekmes izvērtējumu uz datu aizsardzību un precizēt anotācijas 8.1.13. apakšpunktu, sniedzot skaidru un saprotamu informāciju par likumprojektā paredzēto personu datu apstrādi, norādot tiesisko pamatojumu personu datu apstrādei, kā arī sniedzot īsu un kodolīgu skaidrojumu par paredzēto personu datu apstrādi – kādu datu subjektu un kādu kategoriju datus paredz apstrādāt likumprojekts,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informāciju anotācijas 8.1.13.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25-TA-2577</w:t>
    </w:r>
    <w:r>
      <w:br/>
    </w:r>
    <w:r w:rsidR="00000000" w:rsidRPr="00000000" w:rsidDel="00000000">
      <w:rPr>
        <w:rtl w:val="0"/>
      </w:rPr>
      <w:t xml:space="preserve">14.08.2026. 15.24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25-TA-2577</w:t>
    </w:r>
    <w:r>
      <w:br/>
    </w:r>
    <w:r w:rsidR="00000000" w:rsidRPr="00000000" w:rsidDel="00000000">
      <w:rPr>
        <w:rtl w:val="0"/>
      </w:rPr>
      <w:t xml:space="preserve">14.08.2026. 15.24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Izziņa_25-TA-2577.docx</dc:title>
</cp:coreProperties>
</file>

<file path=docProps/custom.xml><?xml version="1.0" encoding="utf-8"?>
<Properties xmlns="http://schemas.openxmlformats.org/officeDocument/2006/custom-properties" xmlns:vt="http://schemas.openxmlformats.org/officeDocument/2006/docPropsVTypes"/>
</file>