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minētajam pretendentam priekšapmaksas un starpposma maksājumu kopsumma nepārsniedz 100 procentu no projekta publiskā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plašāk skaidrot nepieciešamību noteikumu projekta 4.punktam, kas paredz papildināt noteikumus ar 19.</w:t>
            </w:r>
            <w:r w:rsidR="00000000" w:rsidRPr="00000000" w:rsidDel="00000000">
              <w:rPr>
                <w:vertAlign w:val="superscript"/>
                <w:rtl w:val="0"/>
              </w:rPr>
              <w:t xml:space="preserve">1</w:t>
            </w:r>
            <w:r w:rsidR="00000000" w:rsidRPr="00000000" w:rsidDel="00000000">
              <w:rPr>
                <w:rtl w:val="0"/>
              </w:rPr>
              <w:t xml:space="preserve"> punktu ar priekšapmaksas un starpposma maksājuma nosacījumu, kā arī izvērtēt un anotācijā skaidrot, vai šajā punktā paredzētais nav pretrunā noteikumu 18.punktā noteiktajam, kas paredz tikai starpposma maksājumus atbilstoši projekta posmu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Valdības rīcības plānā noteikto un ES līmeņa prioritātēs minēto inovāciju un piekrastes zvejniecības nozīmi, Ministru kabineta 2022.gada 15.novembra noteikumos Nr.722 „Valsts un Eiropas Savienības atbalsta piešķiršanas kārtība pasākumā “Inovācija, pilotprojekti, sadarbība ar zinātni zvejniecībā, akvakultūrā un apstrādē un zināšanu pārnese akvakultūrā”” (turpmāk – noteikumi Nr.722) 9.5.apakšpunktā minētajam atbalsta pretendentam sadarbībā ar piekrastes zvejnieku biedrību paredzēts 100 procentu publiskā atbalsta apmērs no attiecināmajām izmaksām. Attiecīgi nepieciešams papildināt noteikumus Nr.722 ar 19.</w:t>
            </w:r>
            <w:r w:rsidR="00000000" w:rsidRPr="00000000" w:rsidDel="00000000">
              <w:rPr>
                <w:vertAlign w:val="superscript"/>
                <w:rtl w:val="0"/>
              </w:rPr>
              <w:t xml:space="preserve">1</w:t>
            </w:r>
            <w:r w:rsidR="00000000" w:rsidRPr="00000000" w:rsidDel="00000000">
              <w:rPr>
                <w:rtl w:val="0"/>
              </w:rPr>
              <w:t xml:space="preserve"> punktu nosakot, ka šajā pasākumā 9.5. apakšpunktā minētajam atbalsta pretendentam priekšapmaksas un starpposma maksājumu kopsumma nepārsniedz 100 procentu no projekta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šajā punktā paredzētais nav pretrunā noteikumu 18.punktā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minētajam pretendentam priekšapmaksas un starpposma maksājumu kopsumma nepārsniedz 100 procentu no projekta publiskā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9. panta (2) daļā noteikto komercdarbības atbalsta kontroles institūciju kompetenci, Zemkopības ministrija veic plānoto atbalsta programmu vai ad-hoc atbalsta projektu, vai to plānoto grozījumu sākotnējo izvērtēšanu zvejniecības, akvakultūras, lauksaimniecības un mežsaimniecības nozarē. Ņemot vērā minēto un, lai nodrošinātu, ka atbalsta pretendentam ir skaidri visi komercdarbības atbalsta piešķiršanas nosacījumi, aicinām Zemkopības ministriju izvērtēt un noteikumu projektā iekļaut visus ar komercdarbības atbalsta piešķiršanu, kur attiecināms, saistītos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paredzētais atbalsts tiek sniegts saskaņā ar Programmu zivsaimniecības attīstībai 2021.-2027.gadam, kas izstrādāta atbilstoši Eiropas Parlamenta un Padomes 2021. gada 7. jūlija Regulai (ES) 2021/1139, ar ko izveido Eiropas Jūrlietu, zvejniecības un akvakultūras fondu un groza Regulu (ES) 2017/1004 un 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23-TA-1247</w:t>
    </w:r>
    <w:r>
      <w:br/>
    </w:r>
    <w:r w:rsidR="00000000" w:rsidRPr="00000000" w:rsidDel="00000000">
      <w:rPr>
        <w:rtl w:val="0"/>
      </w:rPr>
      <w:t xml:space="preserve">07.08.2023. 17.09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23-TA-1247</w:t>
    </w:r>
    <w:r>
      <w:br/>
    </w:r>
    <w:r w:rsidR="00000000" w:rsidRPr="00000000" w:rsidDel="00000000">
      <w:rPr>
        <w:rtl w:val="0"/>
      </w:rPr>
      <w:t xml:space="preserve">07.08.2023. 17.09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Izziņa_23-TA-1247.docx</dc:title>
</cp:coreProperties>
</file>

<file path=docProps/custom.xml><?xml version="1.0" encoding="utf-8"?>
<Properties xmlns="http://schemas.openxmlformats.org/officeDocument/2006/custom-properties" xmlns:vt="http://schemas.openxmlformats.org/officeDocument/2006/docPropsVTypes"/>
</file>