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Nacionālās industriālās politikas pamatnostādņu 2021. – 2027. gadam īstenošanas starpposma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 lpp ir norādīts, ka lielu investīciju projektu īstenošanai turpmāk plānoti 80 milj. euro ik gadu valsts budžeta ietvaros. Vēršam uzmanību, ka atbilstoši likumprojektam “Par valsts budžetu 2025. gadam un budžeta ietvaru 2025., 2026. un 2027. gadam” šāds finansējums Ekonomikas ministrijas budžeta programmās nav paredzēts. Lūgums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pasākumu īstenošanai ir nodrošināms iesaistīto iestāžu budžeta resursu ietvaros vai risināms turpmāko gadu budžeta likumprojekta sagatavošanas procesā kopā ar visu ministriju un centrālo valsts iestāžu prioritāro pasākumu pieteikumiem, ievērojot valsts budžeta finansiālās iespējas. Papildus atzīmējams, ka 2024. gada 30. aprīlī ir stājušies spēkā jaunie ES fiskālie noteikumi un saskaņā ar šiem noteikumiem tiks noteikta saistoša izdevumu pieauguma trajektorija, un pie šī brīža prognozēm iespējas piešķirt papildu finanšu resursus turpmākajos gados būs ierobežotas, kas ir jāņem vērā pasākumu īstenošanā un plānošanā.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norādot, ka finansējums pasākumu īstenošanai ir nodrošināms iesaistīto iestāžu budžeta resursu ietvaros vai risināms turpmāko gadu budžeta likumprojekta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arī šobrīd vērš uzmanību, ka Jaunā Eiropas Komisijas pieeja industriālās politikas veidošanā balstās uz 14 industriālajām ekosistēmām, no kurām viena ekosistēma ir tieši aeronautika un aizsardzība. DAIF Latvija akcentē, ka aizsardzības industrijas izaugsme ir cieši saistīta arī ar starptautisko saistību izpildi un partnerību veidošanu, nacionālās drošības un Visaptverošas valsts aizsardzības politikas plānošanas dokumentu ievērošanu, kas šobrīd dokumenta projektā netiek ņemts vērā. Attiecīgi, informatīvajā ziņojumā, piemēram, tiek iekļauta informācija tikai par jaunuzņēumu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arvien pastiprinoties nepieciešamībai pēc stratēģiskas partnerības un sadarbības ne tikai nacionālā, bet arī ES un starptautiskā līmenī, </w:t>
            </w:r>
            <w:r w:rsidR="00000000" w:rsidRPr="00000000" w:rsidDel="00000000">
              <w:rPr>
                <w:u w:val="single"/>
                <w:rtl w:val="0"/>
              </w:rPr>
              <w:t xml:space="preserve">DAIF Latvija iebilst, ka industriālo ekosistēmu attīstība un īstenošana nav atbilstoša ES līmeņa ekosistēmu dalījumam, un turklāt ignorē atbilstošo nozaru ministriju kompetenci.</w:t>
            </w:r>
            <w:r w:rsidR="00000000" w:rsidRPr="00000000" w:rsidDel="00000000">
              <w:rPr>
                <w:rtl w:val="0"/>
              </w:rPr>
              <w:t xml:space="preserve"> DAIF Latvija uzskata, ka par katru ekosistēmu atbildīgai ir jābūt konkrētai nozares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mērķis ir sniegt galvenos uzsvarus par paveiktajiem pasākumiem kopš Nacionālās industriālās politikas pamatnostādnēm 2021.-2027. gadam apstiprināšanas un turpmākajiem soļiem, tāpēc Ziņojumā tiek ietverta informācija, kas balstās uz  Nacionālās industriālās politikas pamatnostādnēm 2021.-2027. gadam noteiktajiem prioritārajiem rīcības virzieniem, un tajā netiek apskatītas individuālas nozares  vai ekosistēmas.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visaptverošu pieeju, turpmākajā izpildes ziņojumā tiks apsvērta iespēja detalizētāk atspoguļot arī citas nozares, kurām ir izšķiroša loma industriālās politikas attīstībā, nacionālās drošības un starptautisko saistību izpildes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ir iepazinusies ar informatīvā ziņojuma projektu un iebilst, kam n</w:t>
            </w:r>
            <w:r w:rsidR="00000000" w:rsidRPr="00000000" w:rsidDel="00000000">
              <w:rPr>
                <w:u w:val="single"/>
                <w:rtl w:val="0"/>
              </w:rPr>
              <w:t xml:space="preserve">eskatoties uz to, ka Ministru kabineta (turpmāk – MK) 2021. gada 16.februāra rīkojuma Nr. 93 “Par Nacionālās industriālās politikas pamatnostādnēm 2021. – 2027. gadam” (turpmāk – NIP)  ir iekļauta informācija par drošības un aizsardzības industrijām</w:t>
            </w:r>
            <w:r w:rsidR="00000000" w:rsidRPr="00000000" w:rsidDel="00000000">
              <w:rPr>
                <w:rtl w:val="0"/>
              </w:rPr>
              <w:t xml:space="preserve"> (“Pateicoties Latvijas dalībai Ziemeļatlantijas līguma aliansē, drošības un aizsardzības industrijas ir orientētas uz starptautisko sadarbību. Tās daudz vieglāk var iekļauties starptautiskās piegādes ķēdēs un konkurēt konkrētās produktu nišās. Šīs Latvijas uzņēmēju kapacitātes ir jāstiprina gan caur stratēģisko kompetenču attīstību darba tirgū, gan veidojot aizsardzības industrijas zināšanu pārnesi uz vietējo apstrādes rūpniecības industriju platformām, komercializējot produktus sabiedrības vajadzību apmierināšanai. Ir jāievieš industriālās sadarbes koncepts caur R&amp;D programmām un atbalstu komersantu dalībai starptautisku projektu realizācijā”), </w:t>
            </w:r>
            <w:r w:rsidR="00000000" w:rsidRPr="00000000" w:rsidDel="00000000">
              <w:rPr>
                <w:u w:val="single"/>
                <w:rtl w:val="0"/>
              </w:rPr>
              <w:t xml:space="preserve">šajā informatīvajā ziņojumā nav ietverta informācija ne par īstenotajām aktivitātēm, ne plānotām un nepieciešamām turpmākām darbībām (vai tā ir ļoti minimāla) drošības un aizsardzības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pašas NIP tika aptiprinātas 2021.gadā, taču šobrīd situāciju ir būtiski mainījusies, īpaši arī ņemot vērā tieši ģeopolitisko situāciju un drošības un aizsardzības jomu prioritāti nacionālā, Eiropas Savienības un NATO līmenī kopumā, </w:t>
            </w:r>
            <w:r w:rsidR="00000000" w:rsidRPr="00000000" w:rsidDel="00000000">
              <w:rPr>
                <w:u w:val="single"/>
                <w:rtl w:val="0"/>
              </w:rPr>
              <w:t xml:space="preserve">aicinām kopumā pārskatīt NIP rīcības plānu (aktivitātes), sasniedzamos rezultātus, iesaistītās puses un piesaistāmo finansējumu </w:t>
            </w:r>
            <w:r w:rsidR="00000000" w:rsidRPr="00000000" w:rsidDel="00000000">
              <w:rPr>
                <w:rtl w:val="0"/>
              </w:rPr>
              <w:t xml:space="preserve">(NIP 3.pielikums - Rīcības virzienu uzdevumi, to izpildes termiņš un atbildīgā/līdzatbildīgā institūcija).  </w:t>
            </w:r>
            <w:r w:rsidR="00000000" w:rsidRPr="00000000" w:rsidDel="00000000">
              <w:rPr>
                <w:u w:val="single"/>
                <w:rtl w:val="0"/>
              </w:rPr>
              <w:t xml:space="preserve">Aicinām ņemt vērā arī tādus aktuālos dokumentus kā Valsts aizsardzības koncepcija, Nacionālās drošības koncepcija, Eiropas aizsardzības industriālā stratēģija </w:t>
            </w:r>
            <w:r w:rsidR="00000000" w:rsidRPr="00000000" w:rsidDel="00000000">
              <w:rPr>
                <w:rtl w:val="0"/>
              </w:rPr>
              <w:t xml:space="preserve">u.c.svarīgus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arī šī gada aprīlī apstiprinātajā Informatīvajā ziņojumā "Par Latvijas ekonomikas attīstību" tieši "Mērķtiecīga drošības industrijas attīstība" ir identificēta kā viena no konkurētspējīgas uzņēmējdarbības pamatelementiem.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jāmin, ka DAIF Latvija jau NIP izstrādē 2020.gadā sniedza priekšlikumus, kuri netika integrēti NIP, bet kuru aktualitāte šobrīd ir tikai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NIP virsmērķus 2030.gadā aicinām papildināt ar tautsaimniecības darbības nepārtrauktības nodrošināšanu un pirmās nepieciešamības preču un pakalpojumu, t.sk. izejvielu, pieejamību ārkārtas situācijās</w:t>
            </w:r>
            <w:r w:rsidR="00000000" w:rsidRPr="00000000" w:rsidDel="00000000">
              <w:rPr>
                <w:rtl w:val="0"/>
              </w:rPr>
              <w:t xml:space="preserve">. Ekonomikas ministrijai sadarbībā ar Aizsardzības ministriju, Iekšlietu ministriju, Veselības ministriju u.c. valsts iestādēm ir jādefinē nepieciešamais apjoms ārkārtas situācijās. EM sadarbībā ar iesaistītajām ministrijām un DAIF Latvija ir jāpapildina un jāīsteno NIP pamatnostādnēs paredzētie uzdevumi un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NIP jāveido reģionālajā attīstība ar izpratni par drošību, civil-militāro sadarbību, pirmās nepieciešamības preču pieejamību ārkārtas situācijā un apgādes  nepārtrauktību</w:t>
            </w:r>
            <w:r w:rsidR="00000000" w:rsidRPr="00000000" w:rsidDel="00000000">
              <w:rPr>
                <w:rtl w:val="0"/>
              </w:rPr>
              <w:t xml:space="preserve">. Militārie konflikti, dabas katastrofas, pandēmijas nav teorētisks, bet klātesošs apdraudējums Latvijas un tās iedzīvotāju labklājībai, ko nedrīkst ignorēt.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mērķis ir sniegt galvenos uzsvarus par paveiktajiem pasākumiem kopš Nacionālās industriālās politikas pamatnostādnēm 2021.-2027. gadam apstiprināšanas un turpmākajiem soļiem, tāpēc Ziņojumā tiek ietverta informācija, kas balstās uz  Nacionālās industriālās politikas pamatnostādnēm 2021.-2027. gadam noteiktajiem prioritārajiem rīcības virzieniem, un tajā netiek apskatītas individuālas nozares  vai ekosistēmas. Vienlaikus, Ziņojuma papildināšana ar konkrētiem mērķiem drošības un aizsardzības industrijas attīstībai varētu radīt informācijas pārklāšanos ar pašreiz izstrādē esošo Aizsardzības industriju attīstības un inovāciju stratēģiju. Tāpat arī Ekonomikas ministrija ir proaktīvi pārskatījusi atbalstu programmu pieejamo finansējumu un novirzījusi papildus atbalstu duālo produktu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jaunu produktu attīstībai un internacionalizācijai trešā kārta (atbalsts duāla pielietojuma jaunu produktu un tehnoloģiju izstrādei) – 32 MEUR ( atbalsts pieejams saskaņā ar 22.10.2024. MK noteikumiem Nr.663);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Inkubācijas grantu atbalsts – duālu produktu attīstībai (novirzīti 2 milj. EUR, atbalsts pieejams saskaņā ar 13.07.2023. MK noteikumiem Nr. 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Produktivitātes aizdevumi uzņēmumu inovācijām – 68,2 MEUR (Plānots iesniegt MK IV.ceturksnī).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sagatavoto informatīvo ziņojumu "Par Nacionālās industriālās politikas pamatnostādņu 2021. – 2027. gadam īstenošanas starpposma novērtējumu" (24-TA-2085) (Turpmāk - informatīvais ziņojums) un izsaka šādu iebildumu, kā arī vairākus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vai skaidrot informatīvā ziņojuma 4.lp. iekļauto prioritāšu noteikšanas principus, īpaši ņemot vērā, ka Cilvēkkapitāla attīstības stratēģija 2024.-2027.gadam vēl nav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un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“Nodrošināt koordinētu cilvēkkapitāla pārvaldības modeļa darbību” skaidrojam, ka darba devēji vienmēr norādījuši, ka cilvēkkapitāla attīstības prioritāte ir tautsaimniecības un Latvijas attīstībai nepieciešamā darbaspēka un sabiedrības attīstība, nevis pārvaldības modeļa attīstība. Lai gan pārvaldība ir būtiska, primāri ir nepieciešams darbības vērst uz cilvēka prasmju un kompetenču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Lūdzam skaidrot norādītās prioritātes “veidot nacionāla līmeņa pārkvalifikācijas programmu”, ņemot vērā, ka šādas prioritātes ieviešana nav bijusi apspriešanā ar sociālajiem partneriem vai Cilvēkkapitāla attīstības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informatīvā ziņojuma 3.lp. iekļauto informāciju par Cilvēkkapitāla attīstības stratēģijas 2024.-2027.gadam izstrādi, papildinot ar 17.10.2024. valsts sekretāru sānāksmē lemto par ilgtermiņa stratēģijas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informatīvā ziņojuma sadaļas “paveiktais” pie katra no rīcības virzieniem, ņemot vērā, ka vairāki no tajās iekļautajiem darbiem ir vēl izstrādes stadijā un nav uzskatāmi par paveiktiem.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papildināt informatīvo ziņojumu ar informāciju par tā sasaisti ar EM informatīvo ziņojumu "Par Latvijas ekonomikas attīstību" (24-TA-1057), norādot, kā ar industriālās politikas atbalstu tiek sekmēta ekonomiskās attīstības mēŗķu sasniegšana, tai skaitā “līdz 2035. gadam dubuktot IKP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precizēt/atšifrēt, kas informatīvā ziņojuma 4. tabulā ir apzīmēts 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noteiktās turpmākās prioritātes ir cieši saistītas ar Cilvēkkapitāla attīstības rīcības plāna projektu, taču pie tām tiek strādāts paralēli projekta izstrādes procesam, kā, piemēram, jautājumos par cilvēkkapitāla pārvaldības modeļa darbību, esot ciešā kontaktā ar Cilvēkkapitāla attīstības padomes locekļiem un citām iesaistītām institūcijām; nacionālā līmeņa pārkvalifikācijas programmu ieviešanas iespēju izvērtēšanā (skat. iebilduma 3) punktu), kā arī jautājumos par vienkāršotu darbaspēka piesaistes procedūru. Minētās prioritātes balstās uz rīcības plāna projekta izstrādes procesā identificētiem izaicinājumiem, uz kā pamata tika izvirzītas konkrētas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Vēlamies norādīt, ka cilvēkkapitāla pārvaldība un aktivitāšu realizēšana cilvēkkapitāla stratēģisko mērķu sasniegšanai ir ciešā sasaistē viens ar otru un nebūtu skatāmi dalīti. Ekonomikas ministrijas piedāvātais cilvēkkapitāla pārvaldības modelis ietver mehānismus, kā nodrošināt cilvēku prasmju un kompetenču attīstību, balstoties uz ciešu sadarbību ar darba devējiem darba tirgus nepieciešamo prasmju identificēšanā. Š.g. 17. oktobra Valsts sekretāru sanāksmes tika atbalstīts Cilvēkkapitāla attīstības rīcības plāna projekts (17.10.2024. protokols Nr. 33, 1. §, 1. punkts), redakcionāli to precizējot sadarbībā ar LDDK (protokola Nr. 33, 1. §, 2. punkts), un tajā iekļautie identificētie pasākumi iet ciešā sasaistē ar nepieciešamo koordinētu lēmumu pieņemšanu pasākumu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Patlaban Ekonomikas ministrija veic izvērtējumu par efektīvāko atbalsta instrumentu darba ņēmēju kvalifikācijas celšanai un pārkvalifikācijai, uz kā pamata plānots veidot nacionālā līmeņa pārkvalifikācijas programmu. Izvērtējuma izstrādes stadijā esam atsevišķi uzrunājuši Cilvēkkapitāla attīstības padomes locekļus, tostarp, LDDK (e-pastā 29.10.2024.) viedokļa uzklausīšanai. Ņemot to vērā, Ministrija piedāvā organizēt sanāksmi, lai pārrunātu izvērtējuma izstrādes gaitu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sadaļas nosaukums pie katra no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1.nodaļas teksts ir papildināts ar norādi uz Ekonomikas ministrijas informatīvo ziņojumu “Par Latvijas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atsauce “***” ar skaidrojumu, respektīvi, “***2023. gadā 1.4.1. punktā noteiktais rādītājs ir pieejams par 2022.gadu, bet 1.4.2. punktā noteiktais rādītājs ir pieejams par 2021.-2022.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1.pielikuma 15. secinājuma redakciju, kura kā secinājums norādīts, ka "[...] Tas paveicams, uzstādot saules, vēja u.c. atjaunojamās elektroenerģijas ražošanas iekārtas gan atsevišķam, gan kopīgam pašvaldības iestāžu un kapitālsabiedrību pašpatēriņam, izstrādājot un apstiprinot regulējumu par energokopienām, kas sastāv tikai no pašvaldības iestādēm un kapitālsabiedrībām (Pašvaldību energokopienas)."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esošais Ministru kabineta noteikumu projekts "Energokopienu reģistrēšanas un darbības noteikumi" jau šobrīd nosaka nosacījumus pašvaldību un saistīto pašvaldības iestāžu un kapitālsabiedrības dalībai energokopienās, neierobežojot arī to tiesības veidot energokopienas, kurās neietilpst trešās personas. Ņemot to vērā, nav saskatāms pamatojums un lietderība atsevišķa normatīvā regulējuma izstrādei, jo Ministru kabineta noteikumu projekts "Energokopienu reģistrēšanas un darbības noteikumi" paredz, ka energokopienas biedri savstarpējās sadarbības principus, kā arī savstarpējo darījumu un lēmumu apstiprināšanas kārtību nosaka vienošanās ceļā un ir tiesīgi tos nostiprināt energokopienu statūtos, atbilstoši energokopienu biedriem, tai skaitā pašvaldībām, nosakot to rīcības brīvību energokopienas darbības organizēšanā. Tāpat pievēršam uzmanību, ka kopējais elektroenerģijas tirgus regulējums (tai skaitā sistēmas pakalpojuma tarifi, informācijas apmaiņas kārtība starp tirgus dalībniekiem, sistēmas dalībnieku pienākumi u.c.) neparedz dažādu tirgus dalībnieku un lietotāju diferenciāciju atkarībā no to kapitāldaļu piederības vai tirgus dalībnieka un lietotāja atbilstības publiskas vai atvasinātas publiskas personas statusam, un kopumā neatbalstam arī šādu principu iespējamu ieviešanu nākotnē, tai skaitā ņemot vērā un ievērojot Eiropas Parlamenta un padomes direktīvas (ES) 2019/944 noteikto principu, ka energokopienām "[,,,] būtu jāļauj darboties tirgū ar vienlīdzīgiem noteikumiem, nekropļojot konkurenci, un iedzīvotāju energokopienām būtu jāpiemēro tiesības un pienākumi, kas piemērojami citiem elektroenerģijas uzņēmumiem tirgū, nediskriminējošā un samērīgā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nosacījumiem energoneatkarības veicināšanai ir turpināt pāreju no importētās gāzes un elektroenerģijas uz vietējiem atjaunojamajiem energoresursiem (saules, vēja enerģija, siltumsūkņi u.c.). Tas paveicams, uzstādot saules, vēja u.c. atjaunojamās elektroenerģijas ražošanas iekārtas gan atsevišķam, gan kopīgam pašvaldības iestāžu un kapitālsabiedrību pašpatēriņam, izstrādājot regulējumu par energokopienām, kas nodrošina pašvaldības iestāžu un kapitālsabiedrību līdzdalību energokopienās, tai skaitā neierobežojot pašvaldību un to kapitālsabiedrību tiesības veidot slēgtas energokopienas, kuras neparedz trešo personu līzdalību. Tomēr plašākas biomasas izmantošanas gadījumā jāparedz attiecīgs finansējums gaisa kvalitātes uzlabošanas pasākumu veikšanai, lai neradītu negatīvu ietekmi uz sabiedrības veselību un vidi. Kā arī tiek turpināts ieguldīt energoefektivitātē (enerģijas patēriņa samazināšanā) dzīvojamajās mājās, uzņēmumos, valsts un pašvaldību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Nr.1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ir 4.1. sadaļā iekļautās informācijas par atjaunīgās enerģijas īpatsvaru Latvijas energobilancē iekļaušanas mērķis. </w:t>
            </w:r>
            <w:r w:rsidR="00000000" w:rsidRPr="00000000" w:rsidDel="00000000">
              <w:rPr>
                <w:rtl w:val="0"/>
              </w:rPr>
              <w:t xml:space="preserve">Nacionālās industriālās politikas pamatnostādnes 2021. – 2027. gadam tiešā veidā neietekmē šo mērķu sasniegšanu. Pāveidošanas sektors ir enerģētikas sektora jautājums, un nav tieši saistīts ar informatīvā ziņojuma tvērumu. Aicinām dzēst sadaļas otro un ceturto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šajās rindkopās ir norādīta kļūdaina informācija par 2030.gada valsts atjaunīgās enerģijas mērķi, kā arī transporta AER mērķi. Minētie mērķi ir ievērojami paaugstināti.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ziņojumā iekļauto informāciju ar aktualizēto Latvijas Nacionālo enerģētikas un klimata plānu. Lūdzam papildināt sadaļu ar informāciju par jauno atjaunīgās enerģijas mērķi rūpniecībā, kas saskaņā ar aktualizēto Nacionālo enerģētikas un klimata plānu 2030.gadam ir 73,1%. 2022.g. šis rādītājs bija 63,2%.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Ziņojuma 4.1. sadaļas otrā un ceturtā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4.1. sadaļā precizēta saskaņā ar aktualizēto Nacionālo enerģētikas un klimata plānu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 pielikumu ar pasākumiem no Aktualizētā Nacionālā enerģētikas un klimata plāna 2021.-2030. gadam, kurā arī ir noteikta rīcībpolitika, kas tiešā vai netiešā veidā veicina Nacionālās industriālās politikas pamatnostādņu 2021. – 2027. gadam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ministrijas lūgums papildināt Ziņojuma Nr. 2 pielikumu ar pasākumiem no Aktualizētā Nacionālā enerģētikas un klimata plāna 2021.-2030. gadam veicinātu informācijas dublēšanos un papildus administratīvo slogu, jo Klimata un enerģētikas ministrijai būs jāiesniedz aktuālā informācija par pasākumu izpildi ne tikai esošā plāna ietvaros, bet arī Ekonomikas ministrijai. Lai veicinātu efektīvāku un konsekventāku pieeju rīcībpolitikas īstenošanā, Ekonomikas ministrijas ieskatā nav nepieciešamības iekļaut  papildus pasākumus Ziņojuma Pielikumā Nr. 2, ja tie dublē Aktualizētā Nacionālā enerģētikas un klimata plāna 2021.-2030. gadam ietvertos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sadaļā 1.5 Rīcības virziens: Finanšu pieejamība sabiedrības "Altum" nodrošināto atbalstu, kāds ir pieejams mājaslapā, ņemot vērā arī ilgtspēju, no kuras izriet energoefektivitāte un citas attiecīgās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sadaļā 1.5 minēto informāciju par Altum nodrošināto atbalstu, tai skaitā energoefektivitātes, ilgtspējas un citām attiecīgajām jomām, var ērti atrast Altum tīmekļvietnē https://www.altum.lv/pakalpojumi/biznesam/uzņēmējdarbībai. Šajā vietnē jau ir apkopota detalizēta informācija par pieejamajiem atbalsta veidiem, tāpēc nesaskatām lietderību dublēt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1.5. sadaļa, norādot atsauci uz ALTUM tīmekļvietnē pieejamiem atbalstiem.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 lpp ir norādīts, ka lielu investīciju projektu īstenošanai turpmāk plānoti 80 milj. euro ik gadu valsts budžeta ietvaros. Vēršam uzmanību, ka atbilstoši likumprojektam “Par valsts budžetu 2025. gadam un budžeta ietvaru 2025., 2026. un 2027. gadam” šāds finansējums Ekonomikas ministrijas budžeta programmās nav paredzēts. Lūgums attiecīgi precizēt informatīvo ziņojumu. Kā arī norādām, ka šāds pasākums nav uzskatāms par fiskāli neitrālu. Informējam, ka šā gada 30. aprīlī ir stājušies spēkā jaunie ES fiskālie noteikumi, kas paredz, ka par papildus izdevumus kompensējošiem pasākumiem var uzskatīt tikai diskrecionārus ieņēmumu pasākumus, kas palielina nodokļu/nodevu/maksas pakalpojumu piemērotās likmes/paplašina apliekamo bāzi, savukārt, ja piešķirtā atbalsta rezultātā pieaug nodokļu ieņēmumi (augstāka ekonomiskā aktivitāte), tad šāds papildus nodokļu ieņēmumu pieaugums nav uzskatāms par diskrecionāro ieņēmumu pasākumu. Kā arī gadījumā, ja atbalsts tiek plānots kā aizdevumi ar kapitāla atlaidi, tad atkārtoti norādām, ka šādiem pasākumiem, atbilstoši Eiropas kontu metodoloģijai, ir ietekme uz vispārējās valdības budžeta deficītu brīdī, kad tiek izsniegts aizdevumus un novērtēti sagaidāmie zaudējumi. Aizdevumi ar kapitāla atlaidi nav uzskatāmi par fiskāli neitrāliem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prognozē, ka ieviešot jaunu lielo investīciju piesaistes fondu un paredzot finansējumu publiskam atbalstam 80 milj. EUR, pieaugs valsts budžeta līdzekļu PVN ieņēmumi par 145,9 milj. EUR, līdz ar to Ekonomikas ministrija aicina izvērtēt atbalsta programmas realizēšanu, paredzot finansējumu valsts budžetā sākot ar 2026. gadu – 80 000 000 EUR. Attiecīgi precizēts ziņojums, norādot, ka plānotais finansējums atgriežas valsts budžetā caur nomaksātajiem nodokļiem pieaugošā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 lpp ir norādīts, ka tiek plānots ieviest pastāvīgu atbalstu dižpasākumu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nodrosināšanas kārtība jauniem dižpasākumiem ir noteikta likumprojekta “Par valsts budžetu 2025. gadam un budžeta ietvaru 2025., 2026. un 2027. gadam” 59. pantā, aicinām attiecīgi precizēt ziņojuma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EM nodoms ir ieviest pastāvīgu atbalstu arī regulāro dižpasākumu organizēšanai, tad atkārtoti vēršam uzmanību, ka šādi pasākumi ir finansējami EM budžeta resursu ietvaros/piedāvājot diskrecionāros ieņēmumu pasākumus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valsts budžetu 2025. gadam un budžeta ietvaru 2025., 2026. un 2027. gadam” 2.lasījumā tiks skatīts 2024. gada 4.decembrī, līdz ar to šobrīd nevar prognozēt, kādā apjomā un veidā notiks dižpasākumu līdzfinansējums un kāda veida dižpasākumiem tas tiks piešķirts. Augstāk minētā atruna ielikta pie 1.2. Rīcības virziens: UZŅĒMĒJDARBĪBAS VIDE EKSPORTSPĒJAI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1.lpp. norādīts, ka ziņojums izstrādāts, pamatojoties uz MK 2021. gada 16.februāra rīkojuma Nr. 93 “Par Nacionālās industriālās politikas pamatnostādnēm 2021. – 2027. gadam” 5. punktā noteikto – sagatavot un līdz 2024. gada 1. decembrim iesniegt noteiktā kārtībā MK ziņojumu par pamatnostādņu īstenošanas gaitu līdz likumprojekta par valsts budžetu kārtējam gadam un likumprojekta par vidēja termiņa budžeta ietvaru izskatīšanai MK. Vēršam uzmanību uz to, ka šis punkts uzdod Ekonomikas ministrijai līdz 2024.gada 1.decembrim iesniegt nevis ziņojumu par pamatnostādņu īstenošanas gaitu kā tiek minēts (un kas ir attiecīgā MK rīkojuma 4.punkts), bet gan pamatnostādņu īstenošanas starpposma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ziņojuma 1.lpp. norādīts “Ziņojums koncentrētā veidā ietver: (1) NIP pamatnostādņu īstenošanas progresu 2023. gadā un 2024. gada. 1. ceturksnī [..]”. Vienlaikus, atsevišķās vietās ziņojumā (un 1.pielikumā) attiecībā uz paveikto ir minēti arī uzdevumi, kuri tikuši īstenoti iepriekšējos gados, kā arī 2.pielikumā pievienota detalizēta informācija par uzdevumu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papildināt/precizēt ziņojumu (pamatdaļu), aptverot NIP pamatnostādņu īstenošanu laikposmā kopš 2021.gada un 1.sadaļā “NIP pamatnostādņu īstenošanas progress” pārskatāmā veidā un vienuviet </w:t>
            </w:r>
            <w:r w:rsidR="00000000" w:rsidRPr="00000000" w:rsidDel="00000000">
              <w:rPr>
                <w:b w:val="1"/>
                <w:rtl w:val="0"/>
              </w:rPr>
              <w:t xml:space="preserve">sniegt Ekonomikas ministrijas kopējo vērtējumu</w:t>
            </w:r>
            <w:r w:rsidR="00000000" w:rsidRPr="00000000" w:rsidDel="00000000">
              <w:rPr>
                <w:rtl w:val="0"/>
              </w:rPr>
              <w:t xml:space="preserve"> par NIP pamatnostādņu mērķu un rezultātu sasniegšanu, īstenoto uzdevumu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 sadaļa 1. lpp. ar Ekonomikas ministrijas kopējo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attiecībā uz atsevišķiem NIP pamatnostādņu politikas rezultatīvajiem rādītājiem norādīts, ka tie ir zaudējuši savu aktualitāti datu trūkuma dēļ (mainījusies metodoloģija) vai tikušas pārsniegtas prognozētās mērķvērtības, un informatīvajā ziņojumā tiek izvirzīti jauni indikatori (jāatzīmē, ka ne visos gadījumos). Vēršam uzmanību uz to, ka, ja ir nepieciešams noteikt jaunus politikas rezultatīvos rādītājus vai mērķvērtības (1.1.2.; 1.2.1.3.; 1.2.1.4.; 1.2.2.2.), tas nav veicams šī ziņojuma ietvarā. Informatīvajam ziņojumam pievienotais Ministru kabineta sēdes protokollēmuma projekts būtu jāpapildina ar uzdevumu Ekonomikas ministrijai veikt attiecīgos grozījumus NIP pamatnostādnēs, un tie jāvirza apstiprināšanai normatīvajos aktos noteiktajā kārtībā. Saskaņā ar  02.12.2014. Ministru kabineta noteikumu Nr.737 “Attīstības plānošanas dokumentu izstrādes un ietekmes izvērtēšanas noteikumi ” 47.punktu politikas plānošanas dokumentu aktualizē tādā kārtībā, kādā attiecīgais plānošanas dokuments apstiprināts. Grozījumus veic politikas plānošanas dokumenta pamattekstā un apstiprināšanai Ministru kabinetā iesniedz dokumenta konsolidēto redakciju. Savukārt, ja Ekonomikas ministrija uzskata, ka grozījumu veikšana pamatnostādnēs šobrīd nav lietderīga, aicinām precizēt informatīvo ziņojumu, norādot, ka politikas ieviešanas ietekme gadījumos, kad attiecīgie NIP pamatnostādņu politikas rezultatīvie rādītāji zaudējuši savu aktualitāti, informatīvajā ziņojumā tiek vērtēta, izmantojot minētos alternatīvos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grozījumu veikšana Ministru kabineta 2021. gada 16. februāra rīkojumā Nr. 93 "Par Nacionālās industriālās politikas pamatnostādnēm 2021.–2027. gadam" šobrīd nav lietderīga. Skaidrojam, ka politikas rezultatīvie rādītāji, kuri ir zaudējuši aktualitāti, tiek aizvietoti ar rādītajiem, kas nodrošina aktuālāku pārskatu par politikas ietekmi un sasniegumiem. Ņemot vērā minēto, NIP pamatnostādņu izpildes progresu var novērtēt, izmantojot jaunos alternatīvos rādītājus, neveicot iepriekš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2.decembra noteikumu Nr.737 “Attīstības plānošanas dokumentu izstrādes un ietekmes izvērtēšanas noteikumi” 40.punkts nosaka, ka starpposma ietekmes novērtējumu veic lai, cita starpā, pieņemtu lēmumu par pamatnostādņu izstrādes nepieciešamību nākamajam plānošanas periodam. Lūdzam </w:t>
            </w:r>
            <w:r w:rsidR="00000000" w:rsidRPr="00000000" w:rsidDel="00000000">
              <w:rPr>
                <w:b w:val="1"/>
                <w:rtl w:val="0"/>
              </w:rPr>
              <w:t xml:space="preserve">papildināt ziņojumu ar Ekonomikas ministrijas viedokli par plānoto rīcību nākamajā periodā </w:t>
            </w:r>
            <w:r w:rsidR="00000000" w:rsidRPr="00000000" w:rsidDel="00000000">
              <w:rPr>
                <w:rtl w:val="0"/>
              </w:rPr>
              <w:t xml:space="preserve">(no 2028.gada).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2. sadaļu, kur sniegts Ekonomikas ministrijas viedoklis par NIP pamatnostādņu izstrādes nepieciešamību nākamajam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4.3.7.2. Ārējās ekonomiskās politikas īstenošanas (t.sk. resursu) koncentrēšana skaidru mērķu sasniegšanai 2024. gadā norādīta neprecīza informācija par Ārlietu ministrijas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februārī ārlietu ministru K.Kariņu vizītē uz Japānu pavadīja uzņēmēju delegācija. Ārlietu ministrs tikās ar Japānas ārējās tirdzniecības veicināšanas organizācijas (JETRO) prezidentu Susumu Kataoku (Susumu Kataoka) un Japānas biznesa federācijas (Keidanren) Eiropas komitejas priekšsēdētāju Makoto Takašimu (Makoto Takashima). Ārlietu ministrs atklāja Latvijas un Japānas uzņēmēju semināru, kurā Latvijas uzņēmēji Japānas uzņēmējdarbības pārstāvjus iepazīstināja ar sadarbības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februārī ārlietu ministrs K. Kariņš, uzsākot darba vizīti Ņūdeli, Indijā, piedalījās Indijas un Eiropas uzņēmējdarbības ilgtspējas konklāva atklāšanas sesijā "Indija un Eiropa: partneri izaugsmē un ilgtspējā". Darba vizītes trešajā dienā Ņūdeli, Indijā, kopīgi ar Baltijas un Ziemeļvalstu ārlietu ministriem tikās ar Indijas ārlietu ministru Subrahmanjamu Džaišankaru (Subrahmanyam Jaishankar). Tikšanās laikā K. Kariņš uzsvēra Latvijas un Indijas kopīgās intereses starptautisko tiesību un efektīvas multilaterālās sistēmas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ministres Baibas Bražes 2024. gada vīzītes vienmēr ietvērušas ekonomikas komponenti, piemēram, Austrālijā informējot par Latvijas aizsardzības industriju sektoru un dronu ražošanas aktualitātēm, Indonēzijā pārrunājot sadarbības iespējas IT tehnoloģiju jomā un IT prasmju pārneses jomā, un Dienvidkorejā pārrunājot sadarbības potenciālu aizsardzības industriju u.c.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 jūlijā norisinājās Latvijas goda konsulu un uzņēmēju kontaktbirža, regulārās goda kosulu sanāksmes ietvaros. Kontaktbiržā piedalījās gandrīz 100 Latvijas goda konsuli no teju 50 valstīm. Pasākuma laikā vairāk kā 90 Latvijas uzņēmumiem bija dota iespēja satikt goda konsulu no savam uzņēmumam interesējošas valsts, iepriekš piesakoties reģistrācijas formā, un izvēloties konkrētās valsts goda konsulu.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2.-4. oktobrī norisinājās ārvalstīs akreditēto Latvijas ekonomisko diplomātu mācības (Rīga, Liepāja, Ventspils) par prioritārajām nozarēm investīciju piesaistei un eksporta veicināšanai, kā arī citām aktualitātēm Latvijas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laikā dažāda mēroga Latvijas atpazīstamības un eksporta veicināšanas pasākumus īstenojušas Latvijas vēstniecības ārvalstīs, kopumā īstenojot 35 pasākumus, piesaistot vairākos tūkstošos mērāmu auditoriju. Kā viens no piemēriem jāmin 14. oktobrī notikusī Latvijas-Vācijas digitālā konference “Latvijas-Vācijas sinerģija: digitālās transformācijas virzītājspēks” Berlīnē, kas pilnas dienas konferences veidā pulcēja aptuveni 200 dalībniekus no Vācijas un Latvijas. 2024.gada pirmajā pusgadā mūsu vēstnieki devušies 97 reģionālajās vizītēs, notikušas 413 ekonomiska rakstura divpusējas tikšanās, Latvija un mūsu uzņēmumi ar stendiem bijuši pārstāvēti 74 starptautiskās izstādēs, kā arī vēstniecības organizējušas vai apmeklējušas 174 cita veida pasākumus, kas bijuši noderīgi mūsu valsts ekonomisko interešu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Ārlietu dienests nodrošinājis Latvijas ekonomisko interešu aktualizēšanu virknē ienākošo ārvalstu amatpersonu vizīšu. Ārlietu ministrija Rīgā organizē tematiskus seminārus Latvijas uzņēmējiem par ārējo tirgu apgūšanu, piemēram, rīkojot Āfrikas biznesa forumu 2024.gada 4. jūnijā, kā arī uzņēmēju tikšanos ar Eiropas Komisijas starptautisko partnerību komisāri Jutu Urpilianenu (Jutta Urpilainen), kura informēja par ES dalībvalstu privātā sektora iespējām iesaistīties un virzīt savus projektus EK Global Gateway stratēģijas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LDDK, LTRK un FICIL š.g. 16.novembra Ministru prezidentei adresēto vēstuli Nr. 50/2024, Nr.  2-9e/209 un Nr. 2024/873 </w:t>
            </w:r>
            <w:r w:rsidR="00000000" w:rsidRPr="00000000" w:rsidDel="00000000">
              <w:rPr>
                <w:i w:val="1"/>
                <w:rtl w:val="0"/>
              </w:rPr>
              <w:t xml:space="preserve">Par koordinācijas un kvalitātes trūkumu politikas plānošanas dokumentos</w:t>
            </w:r>
            <w:r w:rsidR="00000000" w:rsidRPr="00000000" w:rsidDel="00000000">
              <w:rPr>
                <w:rtl w:val="0"/>
              </w:rPr>
              <w:t xml:space="preserve">, kurā citā starpā vērsta uzmanība uz to, ka informatīvajā ziņojumā </w:t>
            </w:r>
            <w:r w:rsidR="00000000" w:rsidRPr="00000000" w:rsidDel="00000000">
              <w:rPr>
                <w:i w:val="1"/>
                <w:rtl w:val="0"/>
              </w:rPr>
              <w:t xml:space="preserve">“Par Latvijas Ekonomikas attīstību"</w:t>
            </w:r>
            <w:r w:rsidR="00000000" w:rsidRPr="00000000" w:rsidDel="00000000">
              <w:rPr>
                <w:rtl w:val="0"/>
              </w:rPr>
              <w:t xml:space="preserve"> (2024) un informatīvajā ziņojumā </w:t>
            </w:r>
            <w:r w:rsidR="00000000" w:rsidRPr="00000000" w:rsidDel="00000000">
              <w:rPr>
                <w:i w:val="1"/>
                <w:rtl w:val="0"/>
              </w:rPr>
              <w:t xml:space="preserve">“Par Nacionālās industriālās politikas pamatnostādņu 2021. – 2027. gadam īstenošanas starpposma novērtējumu"</w:t>
            </w:r>
            <w:r w:rsidR="00000000" w:rsidRPr="00000000" w:rsidDel="00000000">
              <w:rPr>
                <w:rtl w:val="0"/>
              </w:rPr>
              <w:t xml:space="preserve"> (turpmāk- NIP, 2024) ietverti</w:t>
            </w:r>
            <w:r w:rsidR="00000000" w:rsidRPr="00000000" w:rsidDel="00000000">
              <w:rPr>
                <w:b w:val="1"/>
                <w:rtl w:val="0"/>
              </w:rPr>
              <w:t xml:space="preserve"> savstarpēji nesaskaņoti mērķi </w:t>
            </w:r>
            <w:r w:rsidR="00000000" w:rsidRPr="00000000" w:rsidDel="00000000">
              <w:rPr>
                <w:rtl w:val="0"/>
              </w:rPr>
              <w:t xml:space="preserve">attiecībā uz eksporta apjomu un investīcijām P&amp;A, aicinām EM, virzot NIP starpposma novērtējumu u.c. plānošanas dokumentus, rūpīgi pārliecināties par nacionālās industriālās politikas mērķus savstarpēju saskaņotību. Attiecīgi aicinām EM izvērtēt nepieciešamību pārskatīt NIP 2021-2027 mērķus atbilstoši Latvijas ekonomikas attīstības ziņojumā ietvertajiem palielinātajiem mērķiem vai sniegt skaidrojumu par izveidojušos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ziņojumiem ir atšķirīgi formāti. Informatīvais ziņojums “Par Nacionālās industriālās politikas pamatnostādņu 2021. – 2027. gadam īstenošanas starpposma novērtējumu" ir plānošanas dokuments ar iepriekš noteiktiem mērķiem, pamatojoties uz Ministru kabineta 2021. gada 16. februāra rīkojumu Nr. 93 "Par Nacionālās industriālās politikas pamatnostādnēm 2021.–2027. gadam". Nacionālās industriālās politikas pamatnostādnes 2021.-2027. gadam (NIP) tika apstiprinātas 2021. gadā, tajās ietverot prioritātes, mērķus un rezultatīvos rādītājus atkarībā no tā brīža ekonomiskās situācijas un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ziņojums “Par Latvijas Ekonomikas attīstību" ir informatīvais ziņojums (diskusiju dokuments), kas potenciāli nākotnē varētu būt pamats jaunu mērķu definēšanai, tostarp NIP.  Skaidrojam, ka ziņojums “Par Latvijas Ekonomikas attīstību" izstrādāts 2024. gadā, un šajā laikā ir bijuši dažādi neparedzēti ekonomikas šoki (COVID, jauna ģeopolitiskā situācija), kas ir mainījuši ekonomikas struktūru. Ziņojuma “Par Latvijas Ekonomikas attīstību" izstrādāšanas mērķis bija rosināt diskusiju un publiskas debates Saeimā par Latvijas ekonomikas attīstības izaicinājumiem un valsts izaugsmes prioritātēm. Diskusiju rezultātā tika aktualizēts Valdības rīcības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plānotām turpmākām aktivitātēm atkārtot</w:t>
            </w:r>
            <w:r w:rsidR="00000000" w:rsidRPr="00000000" w:rsidDel="00000000">
              <w:rPr>
                <w:u w:val="single"/>
                <w:rtl w:val="0"/>
              </w:rPr>
              <w:t xml:space="preserve">i aicinām informatīvajā ziņojumā iekļaut nepieciešamās iniciatīvas ar nepieciešamo resursu nodrošinājumu drošības un aizsardzības industriju attīstībai kontekstā arī ar šobrīd izstrādes procesā esošo Aizsardzības industriju attīstības un inovāciju stratēģiju.</w:t>
            </w:r>
            <w:r w:rsidR="00000000" w:rsidRPr="00000000" w:rsidDel="00000000">
              <w:rPr>
                <w:rtl w:val="0"/>
              </w:rPr>
              <w:t xml:space="preserve"> Tāpat  DAIF Latvija aicina </w:t>
            </w:r>
            <w:r w:rsidR="00000000" w:rsidRPr="00000000" w:rsidDel="00000000">
              <w:rPr>
                <w:u w:val="single"/>
                <w:rtl w:val="0"/>
              </w:rPr>
              <w:t xml:space="preserve">paredzēt aktivitātes šajās jomās atbilstoši konkrētiem NIP rīcības virzieniem, kas būtiski var ietekmēt tieši drošības un aizsardzības industriju attīstību un ir saskaņā ar NIP būtību un pamata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Nepiekrītam Ekonomikas ministrijas paustajam, ka "Ziņojuma papildināšana ar konkrētiem mērķiem drošības un aizsardzības industrijas attīstībai varētu radīt informācijas pārklāšanos ar pašreiz izstrādē esošo Aizsardzības industriju attīstības un inovāciju stratēģiju", bet tas būtu jāsakata savstarpēji papildinoši,</w:t>
            </w:r>
            <w:r w:rsidR="00000000" w:rsidRPr="00000000" w:rsidDel="00000000">
              <w:rPr>
                <w:rtl w:val="0"/>
              </w:rPr>
              <w:t xml:space="preserve"> ņemot vērā, ka šīs pamatnostādnes attiecas uz visām industrijām un nozarēm: NIP pamatnostādnes ir vidēja termiņa politikas plānošanas dokuments, kas aptver visas tautsaimniecības nozares un nosaka ekonomikas izaugsmes veicināšanas mērķus un rīcības virzienus turpmākajiem septiņiem gadiem gan vietējā, gan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NIP nosaka ekonomikas izaugsmes veicināšanas mērķus un rīcības virzienus gan vietējā, gan starptautiskā mērogā. DAIF Latvija identificētās nepieciešamās aktivitātes drošības un aizsardzības jomu attīstībai, lai sekmētu NAP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NIP mērķis - infrastruktūras un uzņēmumu tehnoloģiskās bāzes stiprināšana: Latvijas aizsardzības un/vai divējāda pielietojuma tehnoloģiju un industriālās bāzes attīstība (Mērķis: multiplicēt privātās un publiskās investīcijas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NIP mērķis - eksporta aktivitāšu apjoma pieauguma veicināšana: Pārrobežu sadarbība, starptautiskās piegādes ķēdes, konkurētspēja ārvalstu tirgos (Mērķis: Sekmēt pārrobežu sadarbību un Latvijas drošības un aizsardzības industriju iesaisti starptautiskajās piegādes ķēdēs, izpildot pasūtījumus arī citu ES un NATO dalībvalstu vajadzībām. Konkurētspējas paaugstināšana ārējos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NIP mērķis - eksporta aktivitāšu apjoma pieauguma veicināšana: Latvijas drošības un aizsardzības uzņēmumi iekļaušanās Eiropas militāro spēju attīstības procesā (Mērķis: Palielināt uzņēmumu eksporta apjomus un iesaisti  starptautiskās piegādes ķēdēs ar augstas pievienotās vērtības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NIP mērķis - inovācijas kapacitātes paaugstināšana: Privātā, pētniecības un publiskā sektora sadarbība (Mērķis: Veicināt sadarbību starp Latvijas drošības un aizsardzības uzņēmumiem, pētniecības iestādēm un publisko sektoru, sekmējot inovāciju radīšanu un attīstīšanu nacionālās izcilības un konkurētspējas nodrošināšanai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NIP mērķis – cilvēkkapitāla veicināšana: Prasmju plaisas mazināšana un mūžizglītība drošības un aizsardzības nozarēs (Mērķis: Attīstīt cilvēkresursus atbilstoši tautsaimniecības situācijai un ekonomiskajām tendencēm, nodrošinot iekļaušanos darba tirgū un efektīvu to zināšanu un prasmju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Nr.1 secinājumu sadaļā ietverts secinājums par drošības un aizsardzības industrijas pieaugošo nozīmību.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vērš Ekonomikas ministrijas uzmanību, ka pašas pamatnostādnes tika aptiprinātas 2021.gadā, taču šobrīd situāciju ir būtiski mainījusies, īpaši arī ņemot vērā tieši ģeopolitisko situāciju un drošības un aizsardzības jomu prioritāti nacionālā, Eiropas Savienības un NATO līmenī kopumā. A</w:t>
            </w:r>
            <w:r w:rsidR="00000000" w:rsidRPr="00000000" w:rsidDel="00000000">
              <w:rPr>
                <w:u w:val="single"/>
                <w:rtl w:val="0"/>
              </w:rPr>
              <w:t xml:space="preserve">tkārtoti aicinām kopumā pārskatīt NIP rīcības plānu (aktivitātes), sasniedzamos rezultātus, iesaistītās puses un piesaistāmo finansējumu (NIP 3.pielikums - Rīcības virzienu uzdevumi, to izpildes termiņš un atbildīgā/līdzatbildīgā institūcija).  </w:t>
            </w:r>
            <w:r w:rsidR="00000000" w:rsidRPr="00000000" w:rsidDel="00000000">
              <w:rPr>
                <w:rtl w:val="0"/>
              </w:rPr>
              <w:t xml:space="preserve">Aicinām ņemt vērā arī tādus aktuālos dokumentus kā Valsts aizsardzības koncepcija, Nacionālās drošības koncepcija, Eiropas aizsardzības industriālā stratēģija u.c.svarīgus dokumentus.Jāmin, ka arī šī gada aprīlī apstiprinātajā Informatīvajā ziņojumā "Par Latvijas ekonomikas attīstību" tieši "Mērķtiecīga drošības industrijas attīstība" ir identificēta kā viena no konkurētspējīgas uzņēmējdarbības pamatelementiem.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Nepiekrītam Ekonomikas ministrijas paustajam, ka "Ziņojuma papildināšana ar konkrētiem mērķiem drošības un aizsardzības industrijas attīstībai varētu radīt informācijas pārklāšanos ar pašreiz izstrādē esošo Aizsardzības industriju attīstības un inovāciju stratēģiju", bet tas būtu jāsakata savstarpēji papildinoši</w:t>
            </w:r>
            <w:r w:rsidR="00000000" w:rsidRPr="00000000" w:rsidDel="00000000">
              <w:rPr>
                <w:rtl w:val="0"/>
              </w:rPr>
              <w:t xml:space="preserve">, ņemot vērā, ka šīs pamatnostādnes attiecas uz visām industrijām un nozarēm: </w:t>
            </w:r>
            <w:r w:rsidR="00000000" w:rsidRPr="00000000" w:rsidDel="00000000">
              <w:rPr>
                <w:u w:val="single"/>
                <w:rtl w:val="0"/>
              </w:rPr>
              <w:t xml:space="preserve">NIP pamatnostādnes ir vidēja termiņa politikas plānošanas dokuments, kas aptver visas tautsaimniecības nozares un nosaka ekonomikas izaugsmes veicināšanas mērķus un rīcības virzienus turpmākajiem septiņiem gadiem gan vietējā, gan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jāmin, ka DAIF Latvija jau NIP izstrādē 2020.gadā sniedza priekšlikumus, kuri netika integrēti NIP, bet kuru aktualitāte šobrīd ir tikai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NIP virsmērķus 2030.gadā aicinām papildināt ar tautsaimniecības darbības nepārtrauktības nodrošināšanu un pirmās nepieciešamības preču un pakalpojumu, t.sk. izejvielu, pieejamību ārkārtas situācijās.</w:t>
            </w:r>
            <w:r w:rsidR="00000000" w:rsidRPr="00000000" w:rsidDel="00000000">
              <w:rPr>
                <w:rtl w:val="0"/>
              </w:rPr>
              <w:t xml:space="preserve"> Ekonomikas ministrijai sadarbībā ar Aizsardzības ministriju, Iekšlietu ministriju, Veselības ministriju u.c. valsts iestādēm ir jādefinē nepieciešamais apjoms ārkārtas situācijās. EM sadarbībā ar iesaistītajām ministrijām un DAIF Latvija ir jāpapildina un jāīsteno NIP pamatnostādnēs paredzētie uzdevumi un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NIP jāveido reģionālajā attīstība ar izpratni par drošību, civil-militāro sadarbību, pirmās nepieciešamības preču pieejamību ārkārtas situācijā un apgādes  nepārtrauktību</w:t>
            </w:r>
            <w:r w:rsidR="00000000" w:rsidRPr="00000000" w:rsidDel="00000000">
              <w:rPr>
                <w:rtl w:val="0"/>
              </w:rPr>
              <w:t xml:space="preserve">. Militārie konflikti, dabas katastrofas, pandēmijas nav teorētisks, bet klātesošs apdraudējums Latvijas un tās iedzīvotāju labklājībai, ko nedrīkst ignorēt.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Pielikums Nr. 3 tika apstiprināts 2021. gadā, pamatojoties uz Ministru kabineta 2021. gada 16. februāra rīkojumu Nr. 93 "Par Nacionālās industriālās politikas pamatnostādnēm 2021.–2027. gadam". Lai veiktu izmaiņas šajā Pielikumā Nr3, nepieciešams veikt attiecīgus grozījumus NIP pamatnostādnēs, kas nozīmē faktiski jauna vidēja termiņa politikas plānošanas dokumenta izstrādi. Šis process prasa rūpīgu izvērtēšanu un saskaņošanu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DAIF izvirzītos argumentus, tostarp ģeopolitiskās situācijas izmaiņas un prioritāšu pārkārtojumu drošības un aizsardzības industrijas kontekstā, EM izvērtēs iespēju pārskatīt NIP pamatnostādņu Pielikumā Nr.3 iekļautās aktivitātes un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datnes Pielikums_Nr.2 tabulas "Pielikums 3". 4.4.12.1. apakšpunkta kolonnā "Rīcības virziena izpildes process un tā progress 2024. gada I. ceturksnī" norādīto tekstu: "4) Izstrādāt priekšlikumus darbnespējas lapu apmaksas nosacījumiem un izsniegšanas kontrolei - Jautājums par darbnespējas lapām ir aktuāls arī konkurētspējas un cilvēkkapitāla kontekstā, uz ko uzmanību vērsuši uzņēmēji. Līdz ar to, piedaloties LM, EM, VM un citām iestādēm ir notikušas vairākas diskusijas gan par darbnespējas lapu apmaksu, gan pieejamiem datiem situācijas analīzei, gan esošo darbnespējas lapu izsniegšanas uzraudzības kārtību. Jautājums ir skatīts arī Veselības aprūpes nozares apakšpadomes sēdē š.g. 26. aprīlī, kad tika apspriesta arī darba nespējas lapu izsniegšanas un uzraudzības kārtība. Pēc Ekonomikas ministrijas ierosinājuma un Ministru kabineta 2024. gada 25. jūnija sēdes protokollēmuma (protokola Nr.: 26/43.§)  3. punktā noteiktā, Veselības ministrija ir uzsākusi esošās kārtības, kādā Veselības inspekcija uzrauga darbnespējas lapu izsniegšanu, pārskatīšanu."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 priekšlikumus darbnespējas lapu apmaksas nosacījumiem un izsniegšanas kontrolei - Jautājums par darbnespējas lapām ir aktuāls arī konkurētspējas un cilvēkkapitāla kontekstā, uz ko uzmanību vērsuši uzņēmēji. Līdz ar to, piedaloties LM, EM, VM un citām iestādēm ir notikušas vairākas diskusijas gan par darbnespējas lapu apmaksu, gan pieejamiem datiem situācijas analīzei, gan esošo darbnespējas lapu izsniegšanas uzraudzības kārtību. Jautājums ir skatīts arī Veselības aprūpes nozares apakšpadomes sēdē š.g. 26. aprīlī, kad tika apspriesta arī darba nespējas lapu izsniegšanas un uzraudzības kārtība. Pēc Ekonomikas ministrijas ierosinājuma un Ministru kabineta 2024. gada 25. jūnija sēdes protokollēmuma (protokola Nr.: 26/43.§)  3. punktā noteiktā, Veselības ministrija ir uzsākusi esošās kārtības, kādā Veselības inspekcija uzrauga darbnespējas lapu izsniegšanu, pārskatīšanu. Darbnespējas lapu apmaksas nosacījumu izstrāde ir Labklājības ministrijas kompetencē, savukārt darbnespējas lapu izsniegšanas uzraudzība un kontrole ir Veselības ministrijas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Pielikuma Nr.2 redakcija 4.4.12.1. apakšpunkta kolonnā.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10.lappusē minēts, ka  “veiks kvalitatīvus sadarbības kontaktu iepirkumus mērķvalstīs” . Lūdzam formulēt skaidrāk šo teikumu, jo nav saprotams saturs šim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Pielikuma Nr.1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lpp. ir iekļauti šādi teikumi: ”Saskaņā ar Digitālās dekādes 2023.gada ziņojumu par Latviju valsts veikums uzņēmumu digitalizācijas jomā joprojām ir tālu no Digitālās desmitgades sasniegšanas izvirza mērķus un parāda ievērojamu uzlabojumu iespēju. Lai gan Latvija uz dažiem ir uzlabojusies rādītāji, tas joprojām ir zemāks par ES vidējo rādītāju kopumā”. Lūgums labot gramatiku un teikumu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sadaļu 1.2.  Rīcības virziens: Uzņēmējdarbības vide eksportspējai, kur pie punkta Rezultatīvo rādītāju sasniegšana attiecībā uz  Dižpasākumu programmu līdzās sporta pasākumiem, aicinām minēt piemērus arī kultūrā, piemēram, Pasaules koru olimpiāde.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tika nodrošinātas vairākas tikšanās ar kultūras norišu nozares pārstāvjiem, kā arī nozares profesionāļi iesūtīja savus priekšlikumus Dižpasākumu programmai, lai tai kvalificētos arī eksportspējīgi kultūras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 katru pieteikumu dižpasākumam atsevišķi neatkarīgi no jomas. 2024. gadā Latvijā ir noticis viens pasākums, kuru var klasificēt kā dižpasākumu - WRC rallija posms Latvijā. Kultūras jomā līdz šim nav noticis neviens pasākumus, kas varētu tikt klasificēts kā dižpasākums un kas atbilstu dižpasākuma kritērijiem. Attiecībā uz Pasaules koru olimpiādi jāmin, ka diemžēl organizators nebija iesniedzis pilnu informāciju Ekonomikas ministrijai, lai izvērtētu pasākuma atbilstību dižpasākuma kritērijiem. Ekonomikas ministrija vairākkārt bija tikusies ar kultūra jomas pārstāvjiem un viņu ieteikumi tika ņemti vērā un iekļauti noteikumu projektā "Kārtība, kādā lieliem un nozīmīgiem publiskiem pasākumiem Latvijā tiek piešķirts valsts budžeta līdzfinansējums". Ekonomikas ministrija arī turpmāk izvērtēs katru pieteikumu dižpasākumam atsevišķi neatkarīgi no jomas. Taču atbalsta sniegšana pasākumiem, kas veicina sociālo labklājību un citas sociālās jomas (piem., sporta veicināšanas un jaunatnes sporta attīstības, nacionālās identitātes veicināšanas pasākumi utt.), nekvalificējas fiskāli neitrālu dižpasākumu kritērijiem - šiem pasākumiem nepieciešamā papildus finansējuma piesaistes nodrošināšana paliek par jomu atbildīgo ministriju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"2.2. Būtiskākie īstenotie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apakšsadaļas otrās rindkopas teikumu " 2023. gadā no EM un LIAA puses tika sagatavots noslēdzošais informatīvais ziņojums ar detalizētu dalības tāmi un iegūts izšķirošais valdības akcepts par finansējuma piešķiršanu Latvijas dalībai Baltijas paviljonā, piešķirot no EM budžeta līdzekļiem 5 653 989.", norādot naudas vienību aiz skaitļa "5 653 989"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9.apakšsadaļas pirmās rindkopas pirmo teikumu "2024. gada 23. aprīlī valdība atbalstīja EM piedāvājumu veikt finansējuma pārdali starp EM budžeta programmām, papildu finansējumu 6 miljonu apmērā ik gadu novirzot tieši eksporta veicināšanas un investīciju piesaistes aktivitāšu īstenošanai 2024., 2025. un 2026. gadā, lai paaugstinātu Latvijas uzņēmumu konkurētspēju un eksportspēju gan vietējā, gan starptautiskā mērogā, kā arī sekmētu augsto tehnoloģiju eksportu, vienlaikus pozicionējot Latviju kā valsti, kur top ilgtspējīgas inovācijas, un veicinātu vienotu Latvijas starptautisko atpazīstamību", norādot papildu finansējuma naudas vienību aiz vārda "miljonu";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10.apakšsadaļas pirmās rindkopas otro teikumu "Atbalsta programmas kopējais valsts finansējums ikgadēji līdz 2025. gadam ir nedaudz vairāk kā 850 tūkst.", norādot naudas vienību aiz vārda "tūkst.".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"2. Būtiskākie īstenotie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 apakšsadaļā 14. lpp. teikumu "Valsts atbalsts būs pieejams komersantiem, kuriem ir piešķirtas līguma tiesības inovāciju partnerības procedūras rezultātā ar publisko iepircēju, lai īstenotu šādas darbības: 1) eksperimentālā izstrāde; 2) produkta vai tehnoloģijas sertificēšanas un testēšanas pakalpojumi. Valsts atbalsts ir paredzēts granta veidā – viena pieteikuma ietvaros atbalsts komersantam, īstenojot kādu no minētajām aktivitātēm, ir pieejams 50% apmērā no līguma cenas ar pasūtītāju (publisko iepircēju), bet ne vairāk kā 50 000 apmērā.", norādot naudas vienību aiz skaitļa "50 000";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 apakšsadaļā 15. lpp. teikumu "Katrā RIS3 virzienā pieejamais finansējums IF-NPP laika periodā no 2022.-2024. gadam ir 5 700 000", norādot naudas vienību aiz skaitļa "5 700 000".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"4.2. Būtiskākie īstenotie pasākumi" 10. apakšsadaļas piekto teikumu "CEF Energy līdzfinansējums ar 18 755 000  grantu atbalstīs šī kopīgā jūras vēja projekta pirmsattīstības aktivitātes, pārliecinoties, ka tiek veiktas visas nepieciešamās izpētes, lai saņemtu atļaujas konkrētu jūras teritoriju (vienā Igaunijas un vienā Latvijas jūrniecības teritorijā) izmantošanai jūras vēja enerģijas ražošanai.", norādot naudas vienību aiz skaitļa "18 755 000".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Sadaļā "5.1. Esošās situācijas apraksts un rezultatīvie rādītāji" septītās rindkopas pirmo un otro teikumu "Uzkrāto ĀTI apjoms Latvijas ekonomikā 2023. gada beigās sasniedza 23,8 mljrd., t.i., 59% no IKP. Gada laikā tās pieauga par gandrīz 8,5 % jeb 1,9 mljrd.", norādot naudas vienību aiz vārda saīsinājumiem "mljrd.".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Sadaļā "5.2. Būtiskākie īstenotie pasākumi" otrās rindkopas otro teikumu "Latvijai ir pieejami finanšu līdzekļi 1,6 miljardu apmērā:", norādot naudas vienību aiz vārda "miljardu".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Sadaļā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punkta teikumu "1. Lai virzītos uz inovatīvu un zināšanām balstītu ekonomiku, sekmējot produktivitāti uzņēmumu modernizāciju un eksporta apjoma pieaugumu, tai skaitā eksporta uzsākšanu vai jaunu eksporta tirgu iegūšanu, komersantiem pieejams plašs atbalsts, gan Atjaunošanas un noturības mehānisma finansējuma ietvaros, gan arī Eiropas Savienības kohēzijas politikas programmas 2021. – 2027. gadam ietvaros, paredzot investīcijas energoefektivitātes paaugstināšanā uzņēmējdarbībā, uzņēmumu digitalizācijā un produktivitātes veicināšanai, kā arī aizdevumu, garantiju un riska kapitāla veidā 1,6 miljardu apmērā.", norādot naudas vienību aiz vārda "miljardu";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 punkta otro, trešo un ceturto teikumu " Preču eksports 2023. gadā faktiskajās cenās samazinājās par 11,6%, sasniedzot eksporta vērtību – 18,3 mljrd. Pakalpojumu eksports 2023. gadā faktiskajās cenās pieauga par 3,8% un tā vērtība bija 7,5 mljrd. Kopējais eksporta apjoms 2023. gadā bija 25.8 mljrd.", norādot naudas vienību aiz vārda saīsinājuma "mljrd.";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 punkta otro teikumu "Tūrisma nozare nozares izaugsmes tempus joprojām kavē Krievijas karadarbība Ukrainā, tādēļ ir nepieciešams atbalsts lielu eksportspējīgu tūrisma produktu ar augstu pievienoto vērtību radīšanai, jo īpaši reģionos. Savukārt, lai sasniegtu nozarē nosprausto mērķi: tūrisma eksporta pieaugums līdz 1,5 miljardiem 2027. gadā, būtiski veicināt investīcijas lielu starptautiski pievilcīgu tūrisma projektu attīstībai, veikt aktīvu Latvijas kā tūrisma galamērķa mārketingu, kā arī nodrošināt uzņēmēju eksportspēju veicinošas atbalsta programmas.", norādot naudas vienību aiz vārda "miljardiem".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Pielikuma Nr.1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7.lpp. sadaļā "Rezultatīvo rādītāju sasniegšana" otrajā rindkopā divus teikumus "Saskaņā ar Digitālās dekādes 2023.gada ziņojumu par Latviju valsts veikums uzņēmumu digitalizācijas jomā joprojām ir tālu no Digitālās desmitgades sasniegšanas izvirza mērķus un parāda ievērojamu uzlabojumu iespēju. Lai gan Latvija uz dažiem ir uzlabojusies rādītāji, tas joprojām ir zemāks par ES vidējo rādītāju kopumā.", lai sniegtā informācija būtu loģiska, saprotama un uztverama.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ierosina, ka NIP aktivitāšu ieviešanā sasniegtos rezultātus būtu svarīgi vērtēt ne tika pret sākotnēji izvirzītajiem mērķiem nacionālā līmenī, bet arī kontekstā ar citu Baltijas valstu sasniegto konkrētās jomās, kas tika palīdzētu precīzāk un konkrētāk definēt gan aktuālo situāciju, gan uzlabojamās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pieeja izvērtēt NIP aktivitāšu rezultātus, salīdzinot tos ar citām Baltijas valstīm nav plānota. NIP mērķi un aktivitātes ir veidotas, ņemot vērā Latvijas ekonomikas un industriālās politikas  izaicinājumus, kas ne vienmēr ir tieši salīdzināmi ar citu Baltijas valstu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plānotām turpmākām aktivitātēm </w:t>
            </w:r>
            <w:r w:rsidR="00000000" w:rsidRPr="00000000" w:rsidDel="00000000">
              <w:rPr>
                <w:u w:val="single"/>
                <w:rtl w:val="0"/>
              </w:rPr>
              <w:t xml:space="preserve">aicinām informatīvajā ziņojumā iekļaut nepieciešamās iniciatīvas ar nepieciešamo resursu nodrošinājumu drošības un aizsardzības industriju attīstībai kontekstā arī ar šobrīd izstrādes procesā esošo Aizsardzības industriju attīstības un inovāciju stratēģiju</w:t>
            </w:r>
            <w:r w:rsidR="00000000" w:rsidRPr="00000000" w:rsidDel="00000000">
              <w:rPr>
                <w:rtl w:val="0"/>
              </w:rPr>
              <w:t xml:space="preserve">. Tāpat  DAIF Latvija aicina paredzēt aktivitātes šajās jomās atbilstoši konkrētiem NIP rīcības virzieniem, kas būtiski var ietekmēt tieši drošības un aizsardzības industriju attīstību un ir saskaņā ar NIP būtību un pamata mērķi. Tas ir, NIP nosaka ekonomikas izaugsmes veicināšanas mērķus un rīcības virzienus gan vietējā, gan starptautiskā mērogā. DAIF Latvija identificētās nepieciešamās aktivitātes drošības un aizsardzības jomu attīstībai, lai sekmētu NAP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NIP mērķis - </w:t>
            </w:r>
            <w:r w:rsidR="00000000" w:rsidRPr="00000000" w:rsidDel="00000000">
              <w:rPr>
                <w:b w:val="1"/>
                <w:rtl w:val="0"/>
              </w:rPr>
              <w:t xml:space="preserve">infrastruktūras un uzņēmumu tehnoloģiskās bāzes stiprināšana: Latvijas aizsardzības un/vai divējāda pielietojuma tehnoloģiju un industriālās bāzes attīstība</w:t>
            </w:r>
            <w:r w:rsidR="00000000" w:rsidRPr="00000000" w:rsidDel="00000000">
              <w:rPr>
                <w:rtl w:val="0"/>
              </w:rPr>
              <w:t xml:space="preserve"> (Mērķis: multiplicēt privātās un publiskās investīcijas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NIP mērķis - </w:t>
            </w:r>
            <w:r w:rsidR="00000000" w:rsidRPr="00000000" w:rsidDel="00000000">
              <w:rPr>
                <w:b w:val="1"/>
                <w:rtl w:val="0"/>
              </w:rPr>
              <w:t xml:space="preserve">eksporta aktivitāšu apjoma pieauguma veicināšana: Pārrobežu sadarbība, starptautiskās piegādes ķēdes, konkurētspēja ārvalstu tirgo</w:t>
            </w:r>
            <w:r w:rsidR="00000000" w:rsidRPr="00000000" w:rsidDel="00000000">
              <w:rPr>
                <w:rtl w:val="0"/>
              </w:rPr>
              <w:t xml:space="preserve">s (Mērķis: Sekmēt pārrobežu sadarbību un Latvijas drošības un aizsardzības industriju iesaisti starptautiskajās piegādes ķēdēs, izpildot pasūtījumus arī citu ES un NATO dalībvalstu vajadzībām. Konkurētspējas paaugstināšana ārējos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NIP mērķis - </w:t>
            </w:r>
            <w:r w:rsidR="00000000" w:rsidRPr="00000000" w:rsidDel="00000000">
              <w:rPr>
                <w:b w:val="1"/>
                <w:rtl w:val="0"/>
              </w:rPr>
              <w:t xml:space="preserve">eksporta aktivitāšu apjoma pieauguma veicināšana: Latvijas drošības un aizsardzības uzņēmumi iekļaušanās Eiropas militāro spēju attīstības procesā</w:t>
            </w:r>
            <w:r w:rsidR="00000000" w:rsidRPr="00000000" w:rsidDel="00000000">
              <w:rPr>
                <w:rtl w:val="0"/>
              </w:rPr>
              <w:t xml:space="preserve"> (Mērķis: Palielināt uzņēmumu eksporta apjomus un iesaisti  starptautiskās piegādes ķēdēs ar augstas pievienotās vērtības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NIP mērķis - </w:t>
            </w:r>
            <w:r w:rsidR="00000000" w:rsidRPr="00000000" w:rsidDel="00000000">
              <w:rPr>
                <w:b w:val="1"/>
                <w:rtl w:val="0"/>
              </w:rPr>
              <w:t xml:space="preserve">inovācijas kapacitātes paaugstināšana: Privātā, pētniecības un publiskā sektora sadarbība</w:t>
            </w:r>
            <w:r w:rsidR="00000000" w:rsidRPr="00000000" w:rsidDel="00000000">
              <w:rPr>
                <w:rtl w:val="0"/>
              </w:rPr>
              <w:t xml:space="preserve"> (Mērķis: Veicināt sadarbību starp Latvijas drošības un aizsardzības uzņēmumiem, pētniecības iestādēm un publisko sektoru, sekmējot inovāciju radīšanu un attīstīšanu nacionālās izcilības un konkurētspējas nodrošināšanai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NIP mērķis – </w:t>
            </w:r>
            <w:r w:rsidR="00000000" w:rsidRPr="00000000" w:rsidDel="00000000">
              <w:rPr>
                <w:b w:val="1"/>
                <w:rtl w:val="0"/>
              </w:rPr>
              <w:t xml:space="preserve">cilvēkkapitāla veicināšana: Prasmju plaisas mazināšana un mūžizglītība drošības un aizsardzības nozarēs (</w:t>
            </w:r>
            <w:r w:rsidR="00000000" w:rsidRPr="00000000" w:rsidDel="00000000">
              <w:rPr>
                <w:rtl w:val="0"/>
              </w:rPr>
              <w:t xml:space="preserve">Mērķis: Attīstīt cilvēkresursus atbilstoši tautsaimniecības situācijai un ekonomiskajām tendencēm, nodrošinot iekļaušanos darba tirgū un efektīvu to zināšanu un prasmju pielietošanu).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mērķis ir sniegt galvenos uzsvarus par paveiktajiem pasākumiem kopš Nacionālās industriālās politikas pamatnostādnēm 2021.-2027. gadam apstiprināšanas un turpmākajiem soļiem, tāpēc Ziņojumā tiek ietverta informācija, kas balstās uz  Nacionālās industriālās politikas pamatnostādnēm 2021.-2027. gadam noteiktajiem prioritārajiem rīcības virzieniem, kur netiek izdalītas atsevišķas nozares  vai ekosistēmas. Vienlaikus vēršam uzmanību, ka Ziņojuma papildināšana ar konkrētiem mērķiem drošības un aizsardzības industrijas attīstībai varētu radīt informācijas pārklāšanos ar pašreiz izstrādē esošo Aizsardzības industriju attīstības un inovāciju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109. rindas "L" kolonnā atjaunot informāciju, jo tā ir novecojusi.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Pielikuma Nr.2 109. rindā, L kolonnā precizēta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104. un 109. rindā pie līdzatbildīgās institūcijas norādīt arī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tabulas Nr. 75, </w:t>
            </w:r>
            <w:r w:rsidR="00000000" w:rsidRPr="00000000" w:rsidDel="00000000">
              <w:rPr>
                <w:i w:val="1"/>
                <w:rtl w:val="0"/>
              </w:rPr>
              <w:t xml:space="preserve">L: Rīcības virziena izpildes process un tā progress 2024. gada I.ceturksnī, </w:t>
            </w:r>
            <w:r w:rsidR="00000000" w:rsidRPr="00000000" w:rsidDel="00000000">
              <w:rPr>
                <w:rtl w:val="0"/>
              </w:rPr>
              <w:t xml:space="preserve">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turpinās ar MK noteikumiem Nr. 150 "Emisijas kvotu izsolīšanas instrumenta finansēto projektu atklāta konkursa "Siltumnīcefekta gāzu emisiju samazināšana mājsaimniecībās - atbalsts atjaunojamo energoresursu izmantošanai" nolikums" apstiprinātā projektu konkursa īstenošana. </w:t>
            </w:r>
            <w:r w:rsidR="00000000" w:rsidRPr="00000000" w:rsidDel="00000000">
              <w:rPr>
                <w:b w:val="1"/>
                <w:rtl w:val="0"/>
              </w:rPr>
              <w:t xml:space="preserve">Konkursa ietvaros tiek sniegts atbalsts atjaunīgo energoresursu iekārtu, tostarp, saules un vēja elektrostaciju iegādei mājsaimniecībām. Konkursa ietvaros kopējo pieejamo finansējumu, salīdzinot ar 2023. gadu, plānots palielināt līdz 45 000 000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turpinās ar MK noteikumiem Nr. 150 "Emisijas kvotu izsolīšanas instrumenta finansēto projektu atklāta konkursa "Siltumnīcefekta gāzu emisiju samazināšana mājsaimniecībās - atbalsts atjaunojamo energoresursu izmantošanai" nolikums" apstiprinātā projektu konkursa īstenošana. </w:t>
            </w:r>
            <w:r w:rsidR="00000000" w:rsidRPr="00000000" w:rsidDel="00000000">
              <w:rPr>
                <w:b w:val="1"/>
                <w:rtl w:val="0"/>
              </w:rPr>
              <w:t xml:space="preserve">Konkursa ietvaros tiek sniegts atbalsts atjaunīgo energoresursu iekārtu, tostarp, biomasas katlu, siltumsūkņu un saules kolektoru iegādei mājsaimniecībām, kā arī mājsaimniecību pieslēgšanu centralizētai siltumapgādes sistēmai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tabulas Nr. 75, K: </w:t>
            </w:r>
            <w:r w:rsidR="00000000" w:rsidRPr="00000000" w:rsidDel="00000000">
              <w:rPr>
                <w:i w:val="1"/>
                <w:rtl w:val="0"/>
              </w:rPr>
              <w:t xml:space="preserve">Rīcības virziena izpildes process un tā progress 2023. gadā,</w:t>
            </w:r>
            <w:r w:rsidR="00000000" w:rsidRPr="00000000" w:rsidDel="00000000">
              <w:rPr>
                <w:rtl w:val="0"/>
              </w:rPr>
              <w:t xml:space="preserve"> 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turpinās ar MK noteikumiem Nr. 150 "Emisijas kvotu izsolīšanas instrumenta finansēto projektu atklāta konkursa "Siltumnīcefekta gāzu emisiju samazināšana mājsaimniecībās - atbalsts atjaunojamo energoresursu izmantošanai" nolikums" apstiprinātā projektu atklāta konkursa īstenošana. </w:t>
            </w:r>
            <w:r w:rsidR="00000000" w:rsidRPr="00000000" w:rsidDel="00000000">
              <w:rPr>
                <w:b w:val="1"/>
                <w:rtl w:val="0"/>
              </w:rPr>
              <w:t xml:space="preserve">Konkursa ietvaros tiek sniegts atbalsts atjaunīgo energoresursu iekārtu, tostarp, saules un vēja elektrostaciju iegādei mājsaimniecībām. Konkursa ietvaros kopējais pieejamais finansējums, salīdzinot ar 2022. gadu, palielināts līdz 40 000 000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turpinās ar MK noteikumiem Nr. 150 "Emisijas kvotu izsolīšanas instrumenta finansēto projektu atklāta konkursa "Siltumnīcefekta gāzu emisiju samazināšana mājsaimniecībās - atbalsts atjaunojamo energoresursu izmantošanai" nolikums" apstiprinātā projektu atklāta konkursa īstenošana. </w:t>
            </w:r>
            <w:r w:rsidR="00000000" w:rsidRPr="00000000" w:rsidDel="00000000">
              <w:rPr>
                <w:b w:val="1"/>
                <w:rtl w:val="0"/>
              </w:rPr>
              <w:t xml:space="preserve">Konkursa ietvaros tiek sniegts atbalsts atjaunīgo energoresursu iekārtu, tostarp, biomasas katlu, siltumsūkņu un saules kolektoru iegādei mājsaimniecībām, kā arī mājsaimniecību pieslēgšanu centralizētai siltumapgādes sistēmai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sadaļas 4.2. Būtiskākie īstenotie pasākumi, 23 lpp. [12] rindkopas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2023. gadā un 2024. gadā turpinās ar MK noteikumiem Nr. 150 "Emisijas kvotu izsolīšanas instrumenta finansēto projektu atklāta konkursa "Siltumnīcefekta gāzu emisiju samazināšana mājsaimniecībās - atbalsts atjaunojamo energoresursu izmantošanai" nolikums" apstiprinātā projektu konkursa īstenošana. Konkursa ietvaros tiek sniegts atbalsts atjaunīgo energoresursu iekārtu, tostarp saules un vēja elektrostaciju iegādei mājsaimniecībām. Konkursa ietvaros kopējo pieejamo finansējumu 2024. gadā, salīdzinot ar 2023. gadu, plānots palielināt līdz 45 000 000.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2023. gadā un 2024. gadā turpinās ar MK noteikumiem Nr. 150 "Emisijas kvotu izsolīšanas instrumenta finansēto projektu atklāta konkursa "Siltumnīcefekta gāzu emisiju samazināšana mājsaimniecībās - atbalsts atjaunojamo energoresursu izmantošanai" nolikums" apstiprinātā projektu konkursa īstenošana. </w:t>
            </w:r>
            <w:r w:rsidR="00000000" w:rsidRPr="00000000" w:rsidDel="00000000">
              <w:rPr>
                <w:b w:val="1"/>
                <w:rtl w:val="0"/>
              </w:rPr>
              <w:t xml:space="preserve">Konkursa ietvaros tiek sniegts atbalsts atjaunīgo energoresursu iekārtu, tostarp saules un vēja elektrostaciju iegādei, biomasas katlu, siltumsūkņu un saules kolektoru iegādei mājsaimniecībām, kā arī mājsaimniecību pieslēgšanu centralizētai siltumapgādes sistēma</w:t>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Nr.1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Excel tabulā  4.2.2.1.1. ; 4.3.1.1.; 4.3.5.2.; 4.4.6.7. ar jaunu informāciju par ZM rezultātiem  " Rīcības virziena izpildes process un tā progress 2024. gada I.ceturksnī"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ZM :Pārskata periodā digitalizēti 18 dažādi dokumentu aprites procesi Zemkopības ministrijā.LAD visi pakalpojumi ir e-pakalpojumi (digitāli).LDC palielinājies digitāli sniegto pakalpojumu skaits, sasniedzot 96% 2023. gadā un 97% 2024. gada 1. ceturksnī, kas turpina pieaugt. Atlikušie 2 – 3 %  papīra formāta dokumenti tiek apstrādāti un klienti virzīti digitālo pakalpojumu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VTUA Traktortehnikas uzraudzības pakalpojumi arvien vairāk tiek orientēti uz digitālu sniegšanu, kur tas ir iespējams. Realizācijā ir četri jauni traktortehnikas reģistrācijas e-pakalpojumi.VMD: 2023.gadā uzsākts darbs pie VMD e-pakalpojumu vides izveides klientiem, e-zīmogotu izdruku ieviešanu MVR,  sākot ar 2024.gada 1.ceturksni MVR nodrošināta iesniegumu administratīvā procesa ierosināšanai iesniegšana strukturētu datu veidā un VMD izdoto administratīvo aktu paziņošana tiešsaistē. 2024.gadā ieviesta eRēķinu funkcionalitāte. Aplikācijas “Mednis” uzturēšana administratīvā sloga samazināšanai medniekiem.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LAD ir izstrādājis Elektronisko pieteikšanās sistēmu, kurā visi LAD pakalpojumi pieejami gan fizikām, gan juridiskām personām digitāli. LDC palaists bioreģistrs un sludinājuma portāls bioloģiskajiem ražotājiem. 2024. gada 1 ceturksnī  LDC mājas lapā pilnveidota publiskā datu atlase. Nodrošinām pilnu pakalpojuma pieejamības ciklu digitālajā vidē, režīmā 24/7. PVD kopā ar ZM turpina pilnveidot izstrādāto Veterinārās e-veselības informācijas sistēmas eVETIS. Projekta rezultātā ir radīta un tiek attīstīta sistēma, kurā vienkopus tiks uzturēta informācija par Latvijā sertificētajiem veterinārārstiem, kā arī gan manuāli sistēmā, gan automatizēti izmantojot datu apmaiņas servisus, vienuviet ievadīt un uzturēt visu informāciju par dzīvniekiem lietotajām zālēm. Lai nodrošinātu principu “ievadi datus vienreiz”, un arī uzturot informāciju vienuviet, veterinārārstiem, gan arī veterinārmedicīskās prakses iestādēm, t.sk atļauju novietnēm, tiks samazināts administratīvais slogs, dodot iespēju atteikties no vairāku papīra formā aizpildāmiem dokumentiem. VTUA  izstrādāts risinājums finanšu pakalpojumu sniedzējiem, kuri pēc nepieciešamības var likt atzīmes par īpašumā esošās tehnikas īpašumtiesību maiņu valsts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4.3.5.2. LAD nepārtraukti pilnveido savus sniegtos digitālos pakalpojumus, ņemot vērā klientu prasības (ērti, intuitīvi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LDC uztur, atjaunina, papildina un nodrošina lietotāju apmācību 3 mobilajām lietotnēm e - LDC, LDC dati un e-pārbaudes.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VARAM ir uzsākts pilotprojekts “Tuvāk klientam” – esam pieejami un apmācam darbiniekus VPVKAC. VTUA  katru gadu tiek veidotas video pamācības lietotājiem kā lietot VTUA e-pakalpojumus. VMD: sabiedrības digitālo prasmju attīstīšanai tiek nodrošinātas VMD informācijas sistēmas Meža valsts reģistrs lietošanas video pamācības un ieviesti klientu pašapkalpošanās datori klientu apkalpošanas vietās.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4.4.6.7. ZM: 2024. gadā saskaņā ar KLP SP savu darbības programmu īsteno viena augļu un dārzeņu, kā arī  trīs graudu un viena no divām atzītām piena nozares  ražotāju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datnes Pielikums_Nr.2 tabulas "Pielikums 3". 4.4.12.1. apakšpunkta kolonnā "</w:t>
            </w:r>
            <w:r w:rsidR="00000000" w:rsidRPr="00000000" w:rsidDel="00000000">
              <w:rPr>
                <w:i w:val="1"/>
                <w:rtl w:val="0"/>
              </w:rPr>
              <w:t xml:space="preserve">Rīcības virziena izpildes process un tā progress 2024. gada I. ceturksnī</w:t>
            </w:r>
            <w:r w:rsidR="00000000" w:rsidRPr="00000000" w:rsidDel="00000000">
              <w:rPr>
                <w:rtl w:val="0"/>
              </w:rPr>
              <w:t xml:space="preserve">" norādīto tekstu: "Izstrādāt priekšlikumus darbnespējas lapu apmaksas nosacījumiem un izsniegšanas kontrolei - notikušas vairākas sanāksmes dažādos formātos, turpinās darbs, lai rastu kompromisu starp visām iesaistītajām pusēm. Veselības aprūpes nozares apakšpadomes (VANA) sēdē 26. aprīlī tika apspriesta darba nespējas lapu izsniegšanas un uzraudzības kārtība. Pēc Ekonomikas ministrijas lūguma Veselības ministrija pārskatīs kārtību, kādā Veselības inspekcija uzrauga darbnespējas lapu izsniegšanu. Panākta vienošanās starp Ekonomikas ministriju un Veselības ministriju, kas paredz, ka Veselības ministrija līdz šī gada beigām sava resora ietvaros pārskatīs kārtību, kādā Veselības inspekcija uzrauga darbnespējas lapu izsniegšanas un anulēšanas kārtības noteikumu izpildi un izskata sūdzības par darbnespējas lapu izsniegšanas kārtību. (Pieejams:https://tapportals.mk.gov.lv/legal_acts/9caaf22d-447f-4c6f-bc05-5461cb8a0e77)."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datnes Pielikums_Nr.2 tabulas "Pielikums 3". 4.4.12.1. apakšpunkta kolonnā "</w:t>
            </w:r>
            <w:r w:rsidR="00000000" w:rsidRPr="00000000" w:rsidDel="00000000">
              <w:rPr>
                <w:i w:val="1"/>
                <w:rtl w:val="0"/>
              </w:rPr>
              <w:t xml:space="preserve">Rīcības virziena izpildes process un tā progress 2024. gada I. ceturksnī</w:t>
            </w:r>
            <w:r w:rsidR="00000000" w:rsidRPr="00000000" w:rsidDel="00000000">
              <w:rPr>
                <w:rtl w:val="0"/>
              </w:rPr>
              <w:t xml:space="preserve">" norādīto tekstu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Jautājums par darbnespējas lapām ir aktuāls arī konkurētspējas un cilvēkkapitāla kontekstā, uz ko uzmanību vērsuši uzņēmēji. Līdz ar to, piedaloties LM, EM, VM un citām iestādēm ir notikušas vairākas diskusijas gan par darbnespējas lapu apmaksu, gan pieejamiem datiem situācijas analīzei, gan esošo darbnespējas lapu izsniegšanas uzraudzības kārtību.</w:t>
            </w:r>
            <w:r w:rsidR="00000000" w:rsidRPr="00000000" w:rsidDel="00000000">
              <w:rPr>
                <w:i w:val="1"/>
                <w:rtl w:val="0"/>
              </w:rPr>
              <w:t xml:space="preserve">Jautājums ir skatīts arī Veselības aprūpes nozares apakšpadomes sēdē š.g. 26. aprīlī, kad tika apspriesta arī darba nespējas lapu izsniegšanas un uzraudzības kārtība. Pēc Ekonomikas ministrijas ierosinājuma un Ministru kabinta 2024. gada 25. jūnija sēdes protokollēmuma</w:t>
            </w:r>
            <w:r w:rsidR="00000000" w:rsidRPr="00000000" w:rsidDel="00000000">
              <w:rPr>
                <w:rtl w:val="0"/>
              </w:rPr>
              <w:t xml:space="preserve"> </w:t>
            </w:r>
            <w:r w:rsidR="00000000" w:rsidRPr="00000000" w:rsidDel="00000000">
              <w:rPr>
                <w:i w:val="1"/>
                <w:rtl w:val="0"/>
              </w:rPr>
              <w:t xml:space="preserve">(protokola Nr.: 26/43.§)  3. punktā noteiktā, Veselības ministrija ir uzsākusi esošās kārtības, kādā</w:t>
            </w:r>
            <w:r w:rsidR="00000000" w:rsidRPr="00000000" w:rsidDel="00000000">
              <w:rPr>
                <w:rtl w:val="0"/>
              </w:rPr>
              <w:t xml:space="preserve"> </w:t>
            </w:r>
            <w:r w:rsidR="00000000" w:rsidRPr="00000000" w:rsidDel="00000000">
              <w:rPr>
                <w:i w:val="1"/>
                <w:rtl w:val="0"/>
              </w:rPr>
              <w:t xml:space="preserve">Veselības inspekcija uzrauga darbnespējas lapu izsniegšanu, pārskatīšanu.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 pielikuma tabulā iekļautā pasākuma 4.3.2.5. aprakstu,l aktualizējot to ar informāciju atbilstoši Lietuvas pārvades sistēmas operatora "Litgrid" sniegtajai informācijai (https://www.litgrid.eu/index.php/news-events-/news/litgrid-started-spatial-planning-for-harmony-link-overland-interconnector/32868), saskaņā ar kuru Lietuva un Polija ir atteikušās no ieceres par jūras kabeļu līnijas būvniecību un ir sākušas plānošanas darbus sauszemes elektropārvades starpsavienojuma būvniecībai, paredzot projektu īstenot līdz 2030. gada nogalei.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4.3.2.5. Enerģētiskās drošības un neatkarības palielināšana un virzība uz pilnīgu enerģijas tirgu integrāciju.  Baltijas valstu sinhronizācija ar Eiropas elektroenerģijas tīklu, stiprinot iekšējos savienojumus, kā arī izveidojot jaunu sauszemes pārvades starpsavienojumu Lietuva - Polija.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 pielikuma 4.2. nodaļas 9. punktu atbilstoši aktuālajai pieejamajai informācijai par investīciju projektu norisi uzņēmumā AS  "Augstsprieguma 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Baltijas valstu elektrotīklu sinhronizācija ar kontinentālās Eiropas tīklu aktīvi virzās uz priekšu.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330 kV starpsavienojums Valmiera (LV) –Tartu (EE) nodots ekspluatācijā. Projektā īstenota esošās līnijas vadu, izolācijas, piekararmatūras un balstu nomaiņa, lai nodrošinātu līnijas caurlaides spējas palielināšanu. Organizēts frekvences stabilitātes novērtēšanas sistēmas ieviešanas iepirkums. Iegādātas un uzstādītas sistēmas sinhronizācijas un inerces iekārtas apakšstacijā "Grobiņa", "Ventspils" un "Līksna", paplašinātas apakšstacijas "Grobiņa", "Ventspils" un "Līksna" piegādāto iekārtu pieslēgšanai (sagaidāmais pabeigšanas termiņš 2025.gads). Dispečervadības sistēmas (DVS) aktīvās rezervēšanas ierīkošana apakšstacijās "Rīgas HES", "Ķegums-2", "Aizkraukle", "Ķegums-1", "Ventspils", "TEC-2", "Daugavpils", "Viskaļi" un "Valmiera" (sagaidāmais pabeigšanas termiņš 2025. gads). Elektroenerģiju uzkrājošo bateriju sistēmu (BESS) iekārtu piegāde. Tāpat Lietuva - Polija starpsavienojumam (Harmony Link) mainīta trase, paredzot gaisvada izpildījumu paralēli Rail Baltic trasei. Šobrīd AST un Vācijas uzņēmums Rolls-Royce Solutions GmbH (Rolls-Royce) uzsākuši sadarbību pie Latvijas energosistēmas drošumam nepieciešamo elektroenerģiju uzkrājošo bateriju sistēmu (BESS – Battery Energy Storage System) būvniecības. Rolls-Royce uzstādīs bateriju sistēmu AST apakšstacijās Rēzeknē un Tumē ar kopējo jaudu 80 MW. 330 kV starpsavienojums Tsirgulina (EE) – Valmiera (LV) nodots ekspluatācijā. 2024. gada oktobrī AST arī ir parakstījis līgumu ar CFLA par 60,34 miljonu EUR piešķiršanu vairākām no minētajām investīcijām.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Nr.1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secinājumu 16.punktu arī ar atsauci uz energoefektivitāti, jo ir būtiski,lai jaunie mājokļi ir ne vien pieejami,bet arī energoefektīvi.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Pielikuma Nr.1 Secinājumu daļas 16.punkts precizēts šādā redakcijā: Būtiski nodrošināt turpmākus ieguldījumus un sniegt atbalstu jaunu, energoefektīvu un pieejamu mājokļu būvniecībai, jo īpaši ņemot vērā mājokļu pieejamības nozīmi tautsaimniecības attīstībā un valsts labklājības celšanā, kā arī to pieejamības nozīmi iedzīvotāju mobilitātes veicināšanā, nodrošinot iespēju aktīvi piedalīties darba tirgū un ekonomikā kopumā. Svarīgi vienkāršot būvniecības procedūras dzīvojamo māju būvniecībai, gan būtiski samazinot iesniegto dokumentu apstrādes laiku, gan pilnveidojot Būvniecības informācijas sistēmas būvdarbu žurnāla funkcionalitāti.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 pielikuma 4.2. nodaļas 11. punktu atbilstoši aktuālajai pieejamajai informācijai par investīciju projektu norisi uzņēmumos "Sadales tīkls" un akciju sabiedrība "Augstsprieguma 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nodrošinātu elektroenerģijas pārvades un sadales sistēmu modernizācijas reformu, 2023. gadā uzsākta AF 1.2.1.5.i. investīcijas "Elektroenerģijas pārvades un sadales tīklu modernizācija" īstenošana, pieejamais finansējums ir 80 milj. euro, īsteno akciju sabiedrība "Sadales tīkls" un akciju sabiedrība "Augstsprieguma tīkls". 2024. gada oktobrī AS “Augstsprieguma Tīkls” parakstīja līgumu ar CFLA 12,9 miljonu EUR finansējuma piešķiršanu tādiem inovatīviem un ilgtspējīgiem projektiem kā Kuldīgas digitālās apakšstacijas izbūvei un Carnikavas zaļās apakšstacijas pārbūvei AER pievienošanai pārvades tīklam. Tāpat piešķirto finansējumu plānots novirzīt vairākām nozīmīgām izpētēm, saistītām ar klimata mērķu sasniegšanu un AER īpatsvara palielināšanu: par elektroenerģijas patēriņa pieauguma tendencēm Latvijā; par inovatīviem risinājumiem AER pieslēgumiem pie Latvijas elektropārvades tīkla, kā arī ietekmes uz vidi novērtējuma izpētei pārvades tīkla pastiprināšanas projektam Kurzemē – jaunai 330 kV elektropārvades līnijai Ventspils – Brocēni –Telši/Varduva (Lietuva). Savukārt AS "Sadales tīkls" ir parakstījusi līgumu par finansējuma 60 milj. eiro apjomā saņemšanu. Finansējumu sadales sistēmas operators saņems pakāpeniski un ar tā atbalstu līdz 2026. gada vidum paredzēts veikt vairākas nozīmīgas aktivitātes elektroapgādes pakalpojuma kvalitātes un drošuma uzlabošanai un sistēmas jaudu palielināšanai. Ieguldot šos līdzekļus, plānots izbūvēt jaunu 110 kilovoltu (kV) transformatoru apakšstaciju Launkalnē, kā arī palielināt jaudu jau esošās 110 kV apakšstacijās Rīgā, Valmierā, Olainē un Dobelē. Šie darbi ļaus palielināt kopējo sadales sistēmas kapacitāti, sniedzot iespēju elektroenerģijas sadales sistēmai pieslēgt papildu atjaunīgo energoresursu ģenerējošās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arī gaisvadu līniju pārbūve zemē ieraktu kabeļlīniju izpildījumā 150 kilometru kopgarumā. Šie projekti tiks attīstīti valsts reģionālajos attīstības centros un valstspilsētās, kur jau vērojama vai tuvā nākotnē sagaidāma augsta mikroģenerācijas un elektrifikācijas attīstība (piemēram, siltumsūkņi, elektroauto). Kabeļtīkla tehniskais risinājums nodrošina visaugstāko tīkla darbības stabilitāti nelabvēlīgu laikapstākļu un citu ārēju faktoru ietekmē. Vēl plānots ieviest viedā elektrotīkla pārvaldības risinājumu, papildinot un pielāgojot esošās informācijas sistēmas. Vidējā sprieguma elektrotīklā plānots uzstādīt attālināti vadāmas komutācijas un vadības iekārtas, kas ļaus attālināti ātrāk lokalizēt bojājumus un vajadzības gadījumā veikt tīkla pārslēgumus.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pieejams arī atjaunojamo energoresursu izmantošanas, elektromobilitātes un energoefektivitātes veicināšanai, kā, piemēram, mikroģenerācijas iekārtu ar saules fotovoltu paneļiem pieslēguma izbūvei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Nr.1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18. secinājumu ar atsauci uz Direktīvu 2023/1791 un minēt enerģijas galpātēriņa mazināšanos ēku atjaunošanā.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atjaunošana ir būtisks solis dzīvojamā fonda uzturēšanā un iedzīvotāju ekonomiskās situācijas uzlabošanas veicināšanā, kā arī tas sniedz būtisku ieguldījumu SEG emisiju un enerģijas galpātēriņa mazināšanā. Lai izpildītu Energoefektivitātes Direktīvu 2023/1791</w:t>
            </w:r>
            <w:r w:rsidR="00000000" w:rsidRPr="00000000" w:rsidDel="00000000">
              <w:rPr>
                <w:vertAlign w:val="superscript"/>
                <w:rtl w:val="0"/>
              </w:rPr>
              <w:t xml:space="preserve">1</w:t>
            </w:r>
            <w:r w:rsidR="00000000" w:rsidRPr="00000000" w:rsidDel="00000000">
              <w:rPr>
                <w:rtl w:val="0"/>
              </w:rPr>
              <w:t xml:space="preserve"> un ēku energoefektivitātes direktīvas un SEG emisiju mazināšanas mērķus būtiski ir nodrošināt finansējuma pieejamību atbalstam daudzdzīvokļu un publisko ēku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13. septembra DIREKTĪVA (ES) 2023/1791 par energoefektivitāti un ar ko groza Regulu (ES) 2023/955 (pārstrādāta redakcija) https://eur-lex.europa.eu/legal-content/LV/TXT/HTML/?uri=CELEX:32023L1791#d1e1797-1-1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Pielikuma Nr.1 Secinājumu 18.punkts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atjaunošana ir būtisks solis dzīvojamā fonda uzturēšanā un iedzīvotāju ekonomiskās situācijas uzlabošanas veicināšanā, kā arī tas sniedz būtisku ieguldījumu enerģijas galapatēriņa un SEG emisiju mazināšanā. Lai izpildītu Energoefektivitātes Direktīvu 2023/179156 un Direktīvu 2024/1275 par ēku energosniegumu57 enerģijas galapatēriņa un SEG emisiju mazināšanas mērķus būtiski ir nodrošināt finansējuma pieejamību atbalstam daudzdzīvokļu un publisko ēku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jaunus vai skaidrot pieejamus esošos atbalsta pasākumus uzņēmējiem, kas veicina gan uzņēmuma un tā personāla, gan to piedāvāto preču un pakalpojumu kvalitāti, sertfificēšanas iespējas un kvalifikācijas dokumentu nodrošinašanu, lai stiprinātu uzņēmumu, to preču, pakalpojumu un personāla kvalitāti, kompetenci, atbilstību un vispārīgu konkurētspēju starptautiskā mērogā.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personāla prasmju pilnveidošanu ir pieejamas šādas Ekonomikas ministrijas atbildībā esošas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"Atbalsts nozaru vajadzībās balstītai pieaugušo izglītībai".  Programmas mērķis ir  sniegt atbalstu darba devēju darbinieku kvalifikācijas ieguvei, pārkvalificēšanai vai prasmju ieguvei vai pilnveidošanai, lai sekmētu darba spēka produktivitātes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2.3.1.2.i "Uzņēmumu digitālo prasmju attīstība". Investīcijas mērķis ir nodrošināt komersantus ar digitālajām, robotizācijas un automatizācijas pamatprasmēm, kas sekmētu eksporta veicināšanu un augsta līmeņa digitālās pārvaldības pamatprasmes uzņēmumu vadības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atbalsta programmas paredz sniegt apmācības uzņēmumu darbiniekiem, lai uzlabotu darbinieku kompetences, esošās prasmes, kā arī piedāvātu pārkvalifikācijas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atbalsts uzņēmumu ražotņu un produktu atbilstības sertificēšanai ir pieejams 1.2.3.1. pasākuma "Atbalsts MVU inovatīvas uzņēmējdarbības attīstībai" ietvaros (13.07.2023. MK noteikumi Nr.407).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atsaucēs uz nacionālajiem tiesību aktiem vai atbalsta programmu nosaukumiem, lūdzam labot dokumentos terminu "atjaunojamie energoresursi", "zaļā enerģija", "atjaunojamās elektroenerģijas ražošana" u. tml. uz Enerģētikas likumā noteiktajiem terminiem - "atjaunīgie energoresursi", "atjaunīgā energija", "atjaunīgās elektroenerģijas ražošana".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Pielikumā Nr.1 un Pielikumā Nr. 2 precizēti termini atbilstoši  Enerģētikas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datnes Pielikums_Nr.2 tabulas "Pielikums 3". 4.1.6.1. apakšpunkta kolonnu "Rīcības virziena izpildes process un tā progress 2024. gada I. ceturksnī" ar sekojošu tekstu: "VM: 2024. gada 12. aprīlī ar Centrālo un finanšu un līgumu aģentūru noslēgts līgums par Eiropas Sociālā fonda Plus projekta Nr. 4.1.2.6/1/24/I/001 “</w:t>
            </w:r>
            <w:r w:rsidR="00000000" w:rsidRPr="00000000" w:rsidDel="00000000">
              <w:rPr>
                <w:i w:val="1"/>
                <w:rtl w:val="0"/>
              </w:rPr>
              <w:t xml:space="preserve">Izglītības iespēju nodrošināšana ārstniecībā iesaistītajām personām” īstenošanu</w:t>
            </w:r>
            <w:r w:rsidR="00000000" w:rsidRPr="00000000" w:rsidDel="00000000">
              <w:rPr>
                <w:rtl w:val="0"/>
              </w:rPr>
              <w:t xml:space="preserve">. Projekta mērķis ir veicināt veselības aprūpes pieejamību iedzīvotājiem, pilnveidojot ārstniecības un farmaceitiskās aprūpes speciālistu, kā arī sociālās jomas darbinieku zināšanas, prasmes un profesionālo kvalifikāciju. Projekts paredz sniegt iespējas speciālistiem attīstīt iemaņas un papildināt zināšanas, kas nepieciešamas augstvērtīgu un pieejamu veselības aprūpes pakalpojumu nodrošināšanai. Līdz 2029. gada 31. decembrim plānots sniegt atbalstu 15 562 dalībniekiem. Projekta kopējais finansējums sastāda 12 684 970 eiro, no kuriem 10 782 224 eiro nodrošina Eiropas Sociālais fonds Plus programma, savukārt 1 902 746 eiro veido valsts budžeta līdzfinansējums.".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savas kompetences ietvaros ir izskatījusi Ekonomikas ministrijas sagatavoto Informatīvo ziņojumu “Par Nacionālās industriālās politikas pamatnostādņu 2021. – 2027. gadam īstenošanas starpposma novērtējumu” un atbalsta tā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to, ka Latvijas drošības situācija ir fundamentāli mainījusies kopš NIP pamatnostādnes ir bijušas izstrādātas, drošības un aizsardzības rūpniecības un tehnoloģiskās bāzes segments ir kļuvis stratēģiski nozīmīgs vispārējā nacionālās industrijas attīstības kontekstā. Aizsardzības ministrijas ieskatā ir jāveicina pasākumu ieviešana, kas stiprinātu šo tirgus segmentu kā prioritāti NIP horizontālajos rīcības virzienos, izmantojot jau pamatnostādnēs noteiktos pasākumus vai plānojot jaunus.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izvērtējusi informatīvajā ziņojumā par Nacionālās industriālās politikas pamatnostādņu 2021. – 2027. gadam īstenošanas starpposma novērtējumu iekļautos instrumentus un identificējusi būtiskas atbalsta vajadzības, ko  būtu ieteicams ņemt vērā atlikušajā NIP pamatnostādņu darbības periodā šādos rīcības virzenos – cilvēkkapitāls, uzņēmējdarbības vide eksportspējai, inovācijas, finanšu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Cilvēkkapitāls: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īpašu uzmanību pievērst aizsardzības kompeteņču un prasmju (defence skills) stiprināšanai aizsardzības un drošības industrijas un inovāciju kapacitātes sekmēšanai kontekstā ar divējāda pielietojamības produktu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Uzņēmējdarbības vide eksportspējai: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investīciju piesaisti vai eksportspēju veicinošu projektu apkalpošanu prioritārā kārtībā (“zaļais koridors”) AM ieskatā ir būtiski  radīt priekšnoteikumus “zaļajam koridoram” visiem ar būvniecību saistītajiem procesiem, kā, piemēram, būvatļauju izsniegšanu u.c. Šādu nosacījumu iekļaušana “zaļo koridoru” regulējumā ir ļoti nozīmīga, jo, komersantam nolemjot uzsākt ražotņu izbūvi Latvijas teritorijā, paātrināti procesi un birokrātiskā sloga samazināšana nodrošinātu ātrāku ražošanas uzsākšanu. Tas ir būtiski valsts aizsardzībā, kā arī vietējās industrijas ražošanas apjomu celšanā. Šādi atvieglotie procesi ražotņu būvniecības uzsākšanai jau ir ieviesti Lietuvā.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w:t>
            </w:r>
            <w:r w:rsidR="00000000" w:rsidRPr="00000000" w:rsidDel="00000000">
              <w:rPr>
                <w:rtl w:val="0"/>
              </w:rPr>
              <w:t xml:space="preserve"> Ir atbalstāmas Ekonomikas ministrijas uzsāktās iniciatīvas sekmēt divējādas pielietojamības produktu inovācijas un uzņēmumu produktivitāti, vienlaikus rosinām vērtēt plašākas iespējas NIP plānoto instrumentu attiecināšanai uz divējādas pielietojamības produktu inovāciju sekmēšanu, kas būtu specifiski vērsti uz tehnoloģiju pārnesi un komercializāciju, īpaši pievēršot uzmanību atbalsta veidiem, kas nebūtu balstīti tikai aizdevumu politikā. Piemēram, rekomendējam vērtēt vaučeru programmas potenciālu (Pielikuma nr.2 punktā 4.4.7.3.) vai citus atbalsta veidus, gadījumā ja tas ir praktiski iespējams atlikušajā NIP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būtu vērtīgi operacionalizēt tālāko redzējumu valsts inovatīvo kapitālsabiedrību attīstībai NIP pamatnostādņu atlikušajā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Finanšu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Ekonomikas ministrijas identificētajiem izaicinājumiem un risināmajiem jautājumiem banku kreditēšanas jomā. Ir nepieciešams sekmēt un atvieglot industrijas piekļuvi finansējumam, ko sniedz privātās finanšu iestādes. AM ieskatā nepieciešams turpināt dialogu ar Latvijas finanšu nozari, Latvijas Banku un citām institūcijām, un iesakām noteikt tālāko rīcībpolitiku šajā jomā, it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banku procentlikmju un banku prasību pret komersantiem mīkstināšanas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sekmēt finanšu risinājumus specifiski adresējot jaunuzņēmumu, mazo un vidējo uzņēmumu un vidējās kapitalizācijas uzņēmumu finanšu piesaistes iespējas. Kā iepriekš minēts, šai jautājumā redzam vajadzību vērtēt arī valsts atbalsta  modeļus, kas nav balstīti aizdevumos;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publiskā un finanšu sektora sinerģijas un sadarbību, lai sekmētu finanšu sektora uzticību aizsardzības industrijai, t.sk, vērtējot reputācijas, labas pārvaldības un vai citus riskus, kas saistās ar saimnieciskās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Kopsavelkot aicinām  Ekonomikas ministriju iespēju robežās izvērtēt  papildus darbības iepriekšminētajās jomās aizsardzības un drošības industrijas vajadzību prioritizēšanai, kā arī Aizsardzības ministrija pauž gatavību vajadzības gadījumā integrēt attiecīgas iniciatīvas izstrādājamajā Aizsardzības industrijas un inovāciju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Ziņojuma mērķis ir sniegt galvenos uzsvarus par paveiktajiem pasākumiem kopš Nacionālās industriālās politikas pamatnostādnēm 2021.-2027. gadam apstiprināšanas un turpmākajiem soļiem, tāpēc Ziņojumā tiek ietverta informācija, kas balstās uz  Nacionālās industriālās politikas pamatnostādnēm 2021.- 2027. gadam noteiktajiem prioritārajiem rīcības virzieniem, kas neaptver pilnīgi visas nozares vai ekosistēmas atsevišķi. Vienlaikus, Ziņojuma papildināšana ar konkrētiem mērķiem drošības un aizsardzības industrijas attīstībai varētu radīt informācijas pārklāšanos ar pašreiz izstrādē esošo Aizsardzības industriju attīstības un inovāciju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Sniedzam skaidrojumu. Zaļā koridora iniciatīva jau šobrīd paredz, ka prioritārā projekta statusu ieguvušie projekti var saņemt valsts pārvaldes pakalpojumus saīsinātā termiņā (piemēram, ja jomu regulējošajos normatīvajos aktos pakalpojuma sniegšanas termiņš  ir garāks par 5 darbdienām un projektu izvērtēšana kā pakalpojums netiek piedāvāta paātrinātā kārtībā par papildu samaksu, prioritāro projektu izvērtēšanas pakalpojumu sniedz vismaz divas reizes īsākā termiņā, nemainot nosacījumus attiecībā uz maksu par pakalpojumu). Šobrīd tiek izstrādāts jauns regulējums “zaļā koridora” īstenošanai, kas noteiks, ka prioritārais statuss pienākas ne vien konkrētus kritērijus sasniegt plānojošiem investīciju projektiem, bet arī komersantiem, kas pārskata periodā veikuši investīcijas vai eksportējuši preces un pakalpojumus noteiktā apjomā (t.sk. kritērijs par darba vietām). Esošajā un jaunajā regulējumā “zaļais koridors” pienākas arī tiem valsts pārvaldes sniegtajiem pakalpojumiem, kas attiecināmi arī uz būvniecību, piemēram, Ministru kabineta 2014. gada 19. augusta noteikumu Nr. 500 "Vispārīgie būvnoteikumi" 11. punkta, 12.21. apakšpunkta, 12.22. apakšpunkta, 12.23. apakšpunkta,12.24. apakšpunkta, 16. punkta, 17. punkts un 17.1 punkta normu ietvaros. Plašāku sarakstu skatīt Ministru kabineta 2021. gada 4. februāra noteikumu Nr. 83 "Noteikumi par prioritāro investīciju projektu apkalpošanu" pielikumā, kur apkopots valsts pārvaldes uzdevumu ietvaros sniedzamo pakalpojumu saraksts un gadījumi, kad attiecīgo pakalpojumu sniegšanu nodrošina prioritārā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 Izvērtēts.  Skaidrojam, ka 30.04.2024. ziņojumā par tautsaimniecības attīstību kā viena no prioritātēm definēta mērķtiecīga drošības industrijas attīstība. Attiecīgi, lai nodrošinātu minētās prioritātes attīstību Ekonomikas ministrija ir proaktīvi pārskatījusi atbalstu programmu pieejamo finansējumu un novirzījusi papildus atbalstu duālo produktu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jaunu produktu attīstībai un internacionalizācijai trešās kārta (atbalsts duāla pielietojuma jaunu produktu un tehnoloģiju izstrādei) – 32 MEUR ( atbalsts pieejams saskaņā ar 22.10.2024. MK noteikumiem Nr.663);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Inkubācijas grantu atbalsts – duālu produktu attīstībai (novirzīti 2 milj. EUR, atbalsts pieejams saskaņā ar 13.07.2023. MK noteikumiem Nr. 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Produktivitātes aizdevumi uzņēmumu inovācijām – 68,2 MEUR (Plānots iesniegt MK IV.ceturksnī).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 Sniedzam skaidrojumu. Piekrītot, ka svarīga arī mērķtiecīga valsts kapitālsabiedrību potenciāla veicināšana, kas ietvertu ierobežojumu atcelšanu valsts kapitālsabiedrībām startēt eksporta tirgos, investēt P&amp;A un inovācijās, kā arī sekmējot resursu piesaisti caur kapitāla tirgus instrumentiem, tomēr uzskatām, ka valsts kapitālsabiedrību politikas koordinācija un virsuzstādījumu noteikšana ir plašākas diskusijas objekts, t.sk. Valsts kancelejas īstenotās valsts kapitālsabiedrību un valsts kapitāla daļu pārvaldības politikas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Ekonomikas ministrija savas kompetences ietvaros strādā pie risinājumiem, lai sekmētu finanšu pieejamību komersantiem. Vienlaikus informējam, ka  Ekonomikas ministrija šobrīd sadarbībā ar Latvijas banku un Finanšu ministriju, izpildot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Konkurētspējas un izaugsmes tematiskās komitejas 2024. gada 1. oktobra sēdes protokollēmuma (prot. Nr.1, 1. §.) 3. punktā doto uzdevumu izstrādā informatīvo ziņojumu ar ceļa karti kapitāla tirgus attīstībai un finanšu pieejamības veicināšanai tautsaimniecībā, līdz ar to minētais dokuments ietvers pasākumu kopumu, lai sekmētu finanšu līdzekļu pieejamību, t.sk. militāras nozares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datnes Pielikums_Nr.2 tabulas "Pielikums 3". 4.4.6.1.1. apakšpunkta kolonnu "Rīcības virziena izpildes process un tā progress 2024. gada I. ceturksnī" norādīto tekstu: "VM: Atkārtots konkurss par programmas uzdevuma “Attīstīt jaunas zināšanas, pieejas un metodes veselības aprūpes cilvēkkapitāla attīstīšanai un efektīvai izmantošanai” ieviešanu izsludināts 2024.gada 26.aprīlī.".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4.4.6.11. apakšpunktā norādīto tekstu: "VM: Atkārtots konkurss par programmas uzdevuma “Attīstīt jaunas zināšanas, pieejas un metodes veselības aprūpes cilvēkkapitāla attīstīšanai un efektīvai izmantošanai” ieviešanu izsludināts 2024.gada 26.aprīlī." precizēt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Atbilstoši Ministru kabineta 2023. gada 26. septembra rīkojumam Nr. 629 "Par valsts pētījumu programmu "Sabiedrības veselība"" 6.2. apakšpunktam - attīstīt jaunas zināšanas, pieejas un metodes veselības aprūpes cilvēkkapitāla attīstīšanai un efektīvai izmantošanai - 2024. gada 26. aprīlī ir izsludināts programmas otrais projektu pieteikumu konkurss.".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programmas “Iespējkapitāla ieguldījumi” finansējums 26.lpp. norādīts saskaņā ar MK noteikumu projektu - </w:t>
            </w:r>
            <w:r w:rsidR="00000000" w:rsidRPr="00000000" w:rsidDel="00000000">
              <w:rPr>
                <w:i w:val="1"/>
                <w:rtl w:val="0"/>
              </w:rPr>
              <w:t xml:space="preserve">Grozījumi Ministru kabineta 2023. gada 5. septembra noteikumos Nr. 510 "Eiropas Savienības kohēzijas politikas programmas 2021.–2027. gadam finanšu instrumentu kopīgie īstenošanas noteikumi"</w:t>
            </w:r>
            <w:r w:rsidR="00000000" w:rsidRPr="00000000" w:rsidDel="00000000">
              <w:rPr>
                <w:rtl w:val="0"/>
              </w:rPr>
              <w:t xml:space="preserve">, bet rādītāji norādīti atbilstoši spēkā esošajai MK noteikumu redakcijai. Tāpat aicinām izvērtēt, vai nevajadzētu norādīt kopējo plānoto publisko finansējumu (t.i., arī plānoto atmaksu finansējumu) saskaņā ar Ministru kabineta 2023. gada 15. augusta noteikumiem Nr. 463 "Programmas "Iespējkapitāla ieguldījumi"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1 precizēts, norādot programmas “Iespējkapitāla ieguldījumi” rādītājus atbilstoši grozījumiem Ministru kabineta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norādīta informācija par kopējo plānoto publisko finansējumu, kas ir 80,6 milj.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 sadaļā "Būtiskākie īstenotie pasākumi" precizēt 1.2.3.1. pasākuma "Atbalsts MVU inovatīvas uzņēmējdarbības attīstībai" finansējumu atbilstoši spēkā esošajiem pasākuma īstenošanas MK noteikumiem Nr.407.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ziņojuma Pielikumā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datnes Pielikums_Nr.2 tabulas "Pielikums 3". 4.2.2.1.1. apakšpunkta kolonnu "Rīcības virziena izpildes process un tā progress 2023. gadā" ar sekojošu tekstu: "VM: Ministru kabineta 2023. gada 15. augusta sēdē (protokols Nr.40/38.§) ir apstiprināts informatīvais ziņojums “Digitālās veselības stratēģija līdz 2029. gadam” (projekta ID: 23-TA-824), kura paredz sasniegt šādu rezultātu: "</w:t>
            </w:r>
            <w:r w:rsidR="00000000" w:rsidRPr="00000000" w:rsidDel="00000000">
              <w:rPr>
                <w:i w:val="1"/>
                <w:rtl w:val="0"/>
              </w:rPr>
              <w:t xml:space="preserve">Pakalpojumu digitalizācijas līmenis būtiski samazinājis “papīra” medicīnisko dokumentu apriti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pielikuma sadaļā "1.1. Esošās situācijas apraksts un rezultatīvie rādītāji" ceturtās rindkopas teikumu "2023. gadā vidējā bruto darba samaksa sasniedza 1537 .", norādot darba samaksas naudas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Nr.1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datnes </w:t>
            </w:r>
            <w:r w:rsidR="00000000" w:rsidRPr="00000000" w:rsidDel="00000000">
              <w:rPr>
                <w:i w:val="1"/>
                <w:rtl w:val="0"/>
              </w:rPr>
              <w:t xml:space="preserve">Pielikums_Nr.2</w:t>
            </w:r>
            <w:r w:rsidR="00000000" w:rsidRPr="00000000" w:rsidDel="00000000">
              <w:rPr>
                <w:rtl w:val="0"/>
              </w:rPr>
              <w:t xml:space="preserve"> tabulas "</w:t>
            </w:r>
            <w:r w:rsidR="00000000" w:rsidRPr="00000000" w:rsidDel="00000000">
              <w:rPr>
                <w:i w:val="1"/>
                <w:rtl w:val="0"/>
              </w:rPr>
              <w:t xml:space="preserve">Pielikums 3</w:t>
            </w:r>
            <w:r w:rsidR="00000000" w:rsidRPr="00000000" w:rsidDel="00000000">
              <w:rPr>
                <w:rtl w:val="0"/>
              </w:rPr>
              <w:t xml:space="preserve">". 4.3.1.1. apakšpunkta kolonnu "</w:t>
            </w:r>
            <w:r w:rsidR="00000000" w:rsidRPr="00000000" w:rsidDel="00000000">
              <w:rPr>
                <w:i w:val="1"/>
                <w:rtl w:val="0"/>
              </w:rPr>
              <w:t xml:space="preserve">Rīcības virziena izpildes process un tā progress 2023</w:t>
            </w:r>
            <w:r w:rsidR="00000000" w:rsidRPr="00000000" w:rsidDel="00000000">
              <w:rPr>
                <w:rtl w:val="0"/>
              </w:rPr>
              <w:t xml:space="preserve">. gadā" ar sekojošu tekstu: "VM: Ministru kabineta 2023. gada 15. augusta sēdē (protokols Nr.40/38.§) ir apstiprināts informatīvais ziņojums “</w:t>
            </w:r>
            <w:r w:rsidR="00000000" w:rsidRPr="00000000" w:rsidDel="00000000">
              <w:rPr>
                <w:i w:val="1"/>
                <w:rtl w:val="0"/>
              </w:rPr>
              <w:t xml:space="preserve">Digitālās veselības stratēģija līdz 2029. gadam</w:t>
            </w:r>
            <w:r w:rsidR="00000000" w:rsidRPr="00000000" w:rsidDel="00000000">
              <w:rPr>
                <w:rtl w:val="0"/>
              </w:rPr>
              <w:t xml:space="preserve">” (projekta ID: 23-TA-824), kas paredz ciešu sadarbību starp veselības nozares dalībniekiem un dažādiem ekosistēmas pārstāvjiem, tai skaitā arī privāto sektoru, lai attīstītu un optimizētu digitālos risinājumus un procesus veselības aprūpē.".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Ziņojuma Pielikumā Nr.2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lpp ir norādīts, ka atbilstoši Latvijas Bankas maksājumu bilances datiem par ārvalstu karšu maksājumu datiem pozīcijā “Braucieni C 10820” 2023. gadā sasniegtā vērtība ir 1 180 milj. euro un prognoze 2027. gadam ir 1 521 milj. euro. Savukārt, informatīvā ziņojuma 2. tabulā un 1.pielikumā faktiskā vērtība ir norādīta 1 214 milj. euro un mērķis 2027. gadam - 1 520 milj. euro.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 Rīcības virziens: UZŅĒMĒJDARBĪBAS VIDE EKSPORTSPĒJAI 2. tabulā 5. lpp. ir precizēti dati 2023. gadā faktiskā vērtība ir 1 180 milj. un 2027. gadam - 1 521 milj., kā arī dati precizēti 1. pielikumā 7. un 8. lpp. 2023. gadā faktiskā vērtība ir 1 180 milj. un 2027. gadam - 1 521 milj.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pamatnostādnes 2021. – 2027. gadam rīcības virziens “Cilvēkkapitāls” ietver politikas rezultāta “Konkurētspējīgai un ilgtspējīgai ekonomikas izaugsmei atbilstošs darbaspēks” rezultatīvo rādītāju “Iedzīvotāju iesaistīšanās līmenis izglītībā (% no iedzīvotājiem vecumā no 25 līdz 64 gadiem)”, taču šis pieaugušo izglītības mērķis ir noteikts ļoti vispārīgi, proti, to raksturo noteiktā periodā mācībās piedalījušos skaits. Šādi formulēts rezultatīvais rādītājs, visticamāk, nesasniegs šajā rīcības virzienā iekļauto rezultātos balstītu finansēšanas principu un kavēs īstenot darba tirgus paplašināšanas pasākumus, darba tirgū iesaistot neizmantotās vai nepietiekami izmantotās darbaspēka rezerves.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ka ar cilvēkkapitālu saistīto izaicinājumu risināšana ietver uz darba tirgus vajadzībām mērķētas aktivitātes, īpašu uzmanību pievēršot gan reģionālajiem faktoriem, gan iedzīvotāju ar zemu izglītības līmeni iesaistei, izvirzot tādus rezultatīvos rādītājus, kas labāk raksturotu gan iedzīvotāju kvalifikāciju, gan pārmaiņas rīcībā esošajos ienākumos.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ka ir svarīgi nodrošināt uz darba tirgus vajadzībām mērķētas aktivitātes, lai risinātu cilvēkkapitāla izaicinājumus, ņemot vērā gan reģionālos aspektus, gan iedzīvotāju dažādo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esam papildinājuši rezultatīvo rādītāju tabulu ar rādītāju "Iedzīvotāju ar zemu izglītības līmeni  īpatsvars vecumā no 25 līdz 64 gadiem, kuri pēdējo četru nedēļu laikā pirms aptaujas piedalījušies izglītībā".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1.4. rīcības virziena "Inovācijas"ietvaros minēto par inovāciju un pētniecības pārvaldības reformu, tad, lai mazinātu interpretācijas iespējas, aicinām EM precizēt, ka atbilstoši Informatīvajam ziņojumam “Par Latvijas inovāciju un tehnoloģiju atbalsta fonda iniciatīvas aktualitātes pārskatīšanu” (apstiprināts 12.04.2022.; MK protokols Nr.20 40§) ziņojumam, LPISP nodrošina, nevis stratēģisko uzraudzību, bet stratēģisko </w:t>
            </w:r>
            <w:r w:rsidR="00000000" w:rsidRPr="00000000" w:rsidDel="00000000">
              <w:rPr>
                <w:u w:val="single"/>
                <w:rtl w:val="0"/>
              </w:rPr>
              <w:t xml:space="preserve">virs</w:t>
            </w:r>
            <w:r w:rsidR="00000000" w:rsidRPr="00000000" w:rsidDel="00000000">
              <w:rPr>
                <w:rtl w:val="0"/>
              </w:rPr>
              <w:t xml:space="preserve">uzraudzību pētniecības un inovāciju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Inovāciju un pētniecības pārvaldības reforma</w:t>
            </w:r>
            <w:r w:rsidR="00000000" w:rsidRPr="00000000" w:rsidDel="00000000">
              <w:rPr>
                <w:rtl w:val="0"/>
              </w:rPr>
              <w:t xml:space="preserve">. [..] Vienlaikus precizētas premjerministres vadītās Latvijas Pētniecības un inovāciju pārvaldības padomes (LPISP) funkcijas un kompetences, nosakot stratēģisko </w:t>
            </w:r>
            <w:r w:rsidR="00000000" w:rsidRPr="00000000" w:rsidDel="00000000">
              <w:rPr>
                <w:u w:val="single"/>
                <w:rtl w:val="0"/>
              </w:rPr>
              <w:t xml:space="preserve">virsuzraudzību</w:t>
            </w:r>
            <w:r w:rsidR="00000000" w:rsidRPr="00000000" w:rsidDel="00000000">
              <w:rPr>
                <w:rtl w:val="0"/>
              </w:rPr>
              <w:t xml:space="preserve"> pētniecības un inovāciju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 informācijas par rīcības virzienu 1.1., 1,2, un 1.3. attiecīgi 1., 2. un 3.tabulā ietvertajiem rezultatīvajiem rādītājiem, lai mazinātu interpretācijas iespējas, aicinām EM IZ noslēgumā ietvert vienu teikumu ar informāciju, kas notiks ar tiem rādītājiem, kas rīcības virzienu ietvaros ir iekrāsoti gaiši pelēkā krāsā (piemēram. 1.1.2., 1.2.1.2.., 1.2.1.3., 1.2.2.1. un 1.3.1.), vai tie tiek svītroti no NIP rezultatīvajiem rādītājiem un attiecīgi to sasniegtās vērtības vairāk netiks apkopotas. Ja tie tiek svītroti no NIP rezultatīvajiem rādītājiem, aicinām to vismaz norādīt kolonnā pie informācijas par 2027.gadu.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un 3. tabulā par rezultatīvajiem rādītajiem, kas iekrāsoti pelēkā krāsā, kolonnā pie informācijas par 2027. gadu norādīts:  Rādītājs tiek svītrots no NIP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simbola * paskaidrots, ka Rādītāji, kas ir iekrāsoti gaiši pelēkā krāsā, tiks svītroti no NIP pamatnostādņu rezultatīvajiem rādītājiem, un to vērtības vairs netiks apkopotas, kā norādīts kolonnā pie informācijas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tiks mazināta interpretācijas iespēja un nodrošināta skaidrība par šo rādītāju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papildināt IZ 1.nodaļu "NIP pamatnostādņu īstenošanas progress" ar informāciju par apsvērumiem, vai ņemot vērā to, ka jau 2023.gadā par 96,2 % ir sasniegts NIP 2027.gada mērķis par eksporta apjoma palielināšanu, to nav nepieciešams pārskatīt un ja nē, tad kādi ir apsvērumi tā nepārskatīšanai.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 ministrija skaidro, ka nav nepieciešamības pārskatīt Ministru kabineta 2021. gada 16. februāra rīkojumā Nr. 93 "Par Nacionālās industriālās politikas pamatnostādnēm 2021.–2027. gadam" noteikto eksporta mērķi 2027. gadam. Neraugoties uz esošo progresu, nav pārliecības, ka ekonomiskā situācija turpmākajos gados būs vienmērīga, īpaši, ņemot vērā ģeopolitiskos riskus un cenu izmaiņas. Mērķa vērtība netiks koriģēta atbilstoši inflācijai vai citām ekonomikas īstermiņa svārstībām, lai NIP pamatnostādņu izpildes progresu varētu salīdzināt pret sākotnēji izvirzītajiem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ziņojuma 1.pielikumu, konstatēts, ka sniegtā informācija ir strukturēta pa sadaļām/NIP rīcības virzieniem, taču katras sadaļas saturs neatspoguļo NIP rīcības virzienā iekļauto uzdevumu izpildi. Piemēram NIP  (https://likumi.lv/ta/id/321037-par-nacionalas-industrialas-politikas-pamatnostadnem-20212027-gadam) rīcības virzienā “4.1. Cilvēkkapitāls” ieļauti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Darbaspēka piedāvājuma atbilstības tautsaimniecības pieprasījumam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Augsti kvalificētu speciālistu sagatavošana/piesaiste: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Īstenot pasākumus darbaspēka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Veicināt mājokļu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Atbalsts pirmspensijas vecuma iedzīvotāju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Nozaru prasmju fondu attīstīšana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Ziņojuma 1.pielikumā sadaļā “1.Cilvēkkapitās” ir sniegta informācija bez strukturēšanas pa uzdevumiem, par Cilvēkkapitāla attīstības padomes izveidi, “Cilvēkkapitāla attīstības stratēģijas 2024. - 2027. gadam” izstrādi un tās pārvaldības modeli,  darbu Vienotas ārvalstu darbaspēka piesaistes procedūras izstrādē un dalību dažādas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ziņojumā 1.pielikumā iekļautās informācijas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1.pielikumā iekļautā informācija atspoguļo Ekonomikas ministrijas veiktās darbības, kas ietver cilvēkkapitāla pārvaldības procesu pilnveidošanu un efektivizēšanu, kas savukārt ir pamats veiksmīgai tālāko aktivitāšu realizēšanai. Piemēram, Cilvēkkapitāla attīstības plāna 2024.-2027. gadam izstrāde un realizēšana aptver visus rīcības virzienā “4.1. Cilvēkkapitāls” iekļautos uzdevumus. Savukārt pārējās 1.pielikumā Cilvēkkapitāla sadaļā minētās aktivitātes ir tieši saistītas ar minēto uzdevumu izpildi vai papildina 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papildināt protokollēmumu ar diviem jauniem punktiem, ietverot tajos galveno vēstījumu (</w:t>
            </w:r>
            <w:r w:rsidR="00000000" w:rsidRPr="00000000" w:rsidDel="00000000">
              <w:rPr>
                <w:i w:val="1"/>
                <w:rtl w:val="0"/>
              </w:rPr>
              <w:t xml:space="preserve">main message) </w:t>
            </w:r>
            <w:r w:rsidR="00000000" w:rsidRPr="00000000" w:rsidDel="00000000">
              <w:rPr>
                <w:rtl w:val="0"/>
              </w:rPr>
              <w:t xml:space="preserve">valdībai no informatīvā ziņojuma attiecībā uz NIP pamatnostādnēs izvirzītā mērķa (palielināt eksporta apjomu līdz 22 miljardiem eur gadā) un apakšmērķa  (palielināt izdevumu apjomu P&amp;A darbībām līdz 300 milj. eur gadā) sasniegšanas progresu 2023.gadā, un tādā veidā padarot informāciju par sasniegtajiem rezultātiem redzamāku gan MK, gan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aktu lietu izstrādes paraugos attiecībā uz Informatīvo ziņojumu saistībā ar kuru turpmākā rīcība nav paredzēta, norādīts, ka šāda veida iesniegtais Informatīvais ziņojums tiek pieņemts zināšanai un papildus secinājumi no Informatīva ziņojuma netiek ietverti protokollēmumā (https://vktap.mk.gov.lv/help/ministru-kabineta-sedes-protokollemumu-projektu-paraugi).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24-TA-2085</w:t>
    </w:r>
    <w:r>
      <w:br/>
    </w:r>
    <w:r w:rsidR="00000000" w:rsidRPr="00000000" w:rsidDel="00000000">
      <w:rPr>
        <w:rtl w:val="0"/>
      </w:rPr>
      <w:t xml:space="preserve">14.12.2024. 12.54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24-TA-2085</w:t>
    </w:r>
    <w:r>
      <w:br/>
    </w:r>
    <w:r w:rsidR="00000000" w:rsidRPr="00000000" w:rsidDel="00000000">
      <w:rPr>
        <w:rtl w:val="0"/>
      </w:rPr>
      <w:t xml:space="preserve">14.12.2024. 12.54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Izziņa_24-TA-2085.docx</dc:title>
</cp:coreProperties>
</file>

<file path=docProps/custom.xml><?xml version="1.0" encoding="utf-8"?>
<Properties xmlns="http://schemas.openxmlformats.org/officeDocument/2006/custom-properties" xmlns:vt="http://schemas.openxmlformats.org/officeDocument/2006/docPropsVTypes"/>
</file>