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22-TA-1610: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akcīzes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21. pantu ar 4.</w:t>
            </w:r>
            <w:r w:rsidR="00000000" w:rsidRPr="00000000" w:rsidDel="00000000">
              <w:rPr>
                <w:vertAlign w:val="superscript"/>
                <w:rtl w:val="0"/>
              </w:rPr>
              <w:t xml:space="preserve">6</w:t>
            </w:r>
            <w:r w:rsidR="00000000" w:rsidRPr="00000000" w:rsidDel="00000000">
              <w:rPr>
                <w:rtl w:val="0"/>
              </w:rPr>
              <w:t xml:space="preserve"> un 4.</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6</w:t>
            </w:r>
            <w:r w:rsidR="00000000" w:rsidRPr="00000000" w:rsidDel="00000000">
              <w:rPr>
                <w:rtl w:val="0"/>
              </w:rPr>
              <w:t xml:space="preserve">) Ministru kabinets nosaka gadījumus, kad autoceļa izveidotajā robežšķērsošanas vietā iesniedz akcīzes preču pārvietošanas paziņojumu par atsevišķām akcīzes precēm, kuras fiziskā persona pārvieto personīgajā bagāžā, kas par tādu uzskatāma regulas Nr. 1186/2009 41. panta izpratnē, kā arī par komerciālajā mehāniskajā transportlīdzeklī esošās degvielas apjomu, kas nepieciešams transportlīdzekļa darbības nodrošināšanai, kā arī kārtību, kādā aizpilda un iesniedz minēto paziņojumu, un paziņojumā sniedzamās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7</w:t>
            </w:r>
            <w:r w:rsidR="00000000" w:rsidRPr="00000000" w:rsidDel="00000000">
              <w:rPr>
                <w:rtl w:val="0"/>
              </w:rPr>
              <w:t xml:space="preserve">) Ministru kabineta noteiktos gadījumos komerciālā transportlīdzekļa vadītāju uzskata par pārvadātāja pārstāvi attiecībā uz atsevišķām akcīzes preču pārvietošanas paziņojumā norādāmajām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izteiktajā 21. panta 4.</w:t>
            </w:r>
            <w:r w:rsidR="00000000" w:rsidRPr="00000000" w:rsidDel="00000000">
              <w:rPr>
                <w:vertAlign w:val="superscript"/>
                <w:rtl w:val="0"/>
              </w:rPr>
              <w:t xml:space="preserve">7</w:t>
            </w:r>
            <w:r w:rsidR="00000000" w:rsidRPr="00000000" w:rsidDel="00000000">
              <w:rPr>
                <w:rtl w:val="0"/>
              </w:rPr>
              <w:t xml:space="preserve"> daļā ietverto pilnvarojumu Ministru kabinetam noformēt atbilstoši Ministru kabineta 2009. gada 3. februāra noteikumu Nr. 108 "Normatīvo aktu projektu sagatavošanas noteikumi" 47.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likumprojekta anotācijā detalizētāk skaidrot, kādu regulējumu (tā būtību, piemērus) plānots noteikt 21. panta 4.</w:t>
            </w:r>
            <w:r w:rsidR="00000000" w:rsidRPr="00000000" w:rsidDel="00000000">
              <w:rPr>
                <w:vertAlign w:val="superscript"/>
                <w:rtl w:val="0"/>
              </w:rPr>
              <w:t xml:space="preserve">7</w:t>
            </w:r>
            <w:r w:rsidR="00000000" w:rsidRPr="00000000" w:rsidDel="00000000">
              <w:rPr>
                <w:rtl w:val="0"/>
              </w:rPr>
              <w:t xml:space="preserve"> daļā minētajos Ministru kabineta noteikumos, proti, kas indikatīvi tiks noteikti par gadījumiem, kad “komerciālā transportlīdzekļa vadītāju uzskata par pārvadātāja pārstāvi attiecībā uz atsevišķām akcīzes preču pārvietošanas paziņojumā norādāmajām ziņām”. Vēršam uzmanību, ka likuma “Par akcīzes nodokli” 21. panta ceturtā daļa jau noteic, kuras preces un kādā daudzumā atļauts ievest fiziskās personas personīgajā bagāžā, savukārt šā panta 4.</w:t>
            </w:r>
            <w:r w:rsidR="00000000" w:rsidRPr="00000000" w:rsidDel="00000000">
              <w:rPr>
                <w:vertAlign w:val="superscript"/>
                <w:rtl w:val="0"/>
              </w:rPr>
              <w:t xml:space="preserve">3</w:t>
            </w:r>
            <w:r w:rsidR="00000000" w:rsidRPr="00000000" w:rsidDel="00000000">
              <w:rPr>
                <w:rtl w:val="0"/>
              </w:rPr>
              <w:t xml:space="preserve"> un 4.</w:t>
            </w:r>
            <w:r w:rsidR="00000000" w:rsidRPr="00000000" w:rsidDel="00000000">
              <w:rPr>
                <w:vertAlign w:val="superscript"/>
                <w:rtl w:val="0"/>
              </w:rPr>
              <w:t xml:space="preserve">4</w:t>
            </w:r>
            <w:r w:rsidR="00000000" w:rsidRPr="00000000" w:rsidDel="00000000">
              <w:rPr>
                <w:rtl w:val="0"/>
              </w:rPr>
              <w:t xml:space="preserve"> daļa paredz, kādos gadījumos transportlīdzekli neuzskata par komerciālu un preču daudzumu – par ievestu nekomerciāliem nolūkiem. Līdz ar to nav skaidrs, kādus kritērijus paredzēts noteikt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detalizētāku skaidrojumu, kādu regulējumu plānots noteikt 21. panta 4.</w:t>
            </w:r>
            <w:r w:rsidR="00000000" w:rsidRPr="00000000" w:rsidDel="00000000">
              <w:rPr>
                <w:vertAlign w:val="superscript"/>
                <w:rtl w:val="0"/>
              </w:rPr>
              <w:t xml:space="preserve">7 </w:t>
            </w:r>
            <w:r w:rsidR="00000000" w:rsidRPr="00000000" w:rsidDel="00000000">
              <w:rPr>
                <w:rtl w:val="0"/>
              </w:rPr>
              <w:t xml:space="preserve">daļā minētajos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21. pantu ar 4.</w:t>
            </w:r>
            <w:r w:rsidR="00000000" w:rsidRPr="00000000" w:rsidDel="00000000">
              <w:rPr>
                <w:vertAlign w:val="superscript"/>
                <w:rtl w:val="0"/>
              </w:rPr>
              <w:t xml:space="preserve">6</w:t>
            </w:r>
            <w:r w:rsidR="00000000" w:rsidRPr="00000000" w:rsidDel="00000000">
              <w:rPr>
                <w:rtl w:val="0"/>
              </w:rPr>
              <w:t xml:space="preserve"> un 4.</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6</w:t>
            </w:r>
            <w:r w:rsidR="00000000" w:rsidRPr="00000000" w:rsidDel="00000000">
              <w:rPr>
                <w:rtl w:val="0"/>
              </w:rPr>
              <w:t xml:space="preserve">) Ministru kabinets nosaka gadījumus, kad autoceļa izveidotajā robežšķērsošanas vietā iesniedz akcīzes preču pārvietošanas paziņojumu par atsevišķām akcīzes precēm, kuras fiziskā persona pārvieto personīgajā bagāžā, kas par tādu uzskatāma regulas Nr. 1186/2009 41. panta izpratnē, kā arī par komerciālajā mehāniskajā transportlīdzeklī esošās degvielas apjomu, kas nepieciešams transportlīdzekļa darbības nodrošināšanai, kā arī kārtību, kādā aizpilda un iesniedz minēto paziņojumu, un paziņojumā sniedzamās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7</w:t>
            </w:r>
            <w:r w:rsidR="00000000" w:rsidRPr="00000000" w:rsidDel="00000000">
              <w:rPr>
                <w:rtl w:val="0"/>
              </w:rPr>
              <w:t xml:space="preserve">) Ministru kabinets nosaka, kad komerciālā transportlīdzekļa vadītāju uzskata par pārvadātāja pārstāvi attiecībā uz atsevišķām akcīzes preču pārvietošanas paziņojumā norādāmajām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minēto, ka "šobrīd deleģējums Ministru kabinetam ir noteikts Muitas likuma 6. panta 19. punktā, bet nosacījumi, kā piemērojams atbrīvojums no nodokļiem, ir noteikts likumā “Par akcīzes nodokli”, līdz ar to personām saprotamāk būtu, ka gan piemērošanas nosacījumi, gan deleģējums Ministru kabinetam tiktu noteikts vienā normatīvajā aktā. Esošais deleģējums no Muitas likuma tiks izņemts ar kārtējiem grozījumiem", lūdzam papildināt ar atticīgo informāciju arī likumprojekta anotācijas 4. sadaļu par tiesību akta projekta ietekmi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4.sadaļa papildināta ar informāciju par Muitas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22-TA-1610</w:t>
    </w:r>
    <w:r>
      <w:br/>
    </w:r>
    <w:r w:rsidR="00000000" w:rsidRPr="00000000" w:rsidDel="00000000">
      <w:rPr>
        <w:rtl w:val="0"/>
      </w:rPr>
      <w:t xml:space="preserve">07.06.2022. 13.49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22-TA-1610</w:t>
    </w:r>
    <w:r>
      <w:br/>
    </w:r>
    <w:r w:rsidR="00000000" w:rsidRPr="00000000" w:rsidDel="00000000">
      <w:rPr>
        <w:rtl w:val="0"/>
      </w:rPr>
      <w:t xml:space="preserve">07.06.2022. 13.49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Izziņa_22-TA-1610.docx</dc:title>
</cp:coreProperties>
</file>

<file path=docProps/custom.xml><?xml version="1.0" encoding="utf-8"?>
<Properties xmlns="http://schemas.openxmlformats.org/officeDocument/2006/custom-properties" xmlns:vt="http://schemas.openxmlformats.org/officeDocument/2006/docPropsVTypes"/>
</file>