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26-TA-890: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10. oktobra noteikumos Nr. 576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5.1.1.7. pasākuma "Reģionālās kultūras infrastruktūras attīstība kultūras pakalpojumu piekļūstamības uzlabošanai"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(30.05.2024.)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17.04.2026. 17:33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1.3.apakšpunktā “Pašreizējā situācija, problēmas un risinājumi” ir ietverta informācija, ka elastības finansējumu paredzēts novirzīt Latvijas Nacionālā arhīva un Cēsu Vēstures un mākslas muzeja krātuvju iebūvējamā un neiebūvējamā aprīkojuma iegādei un uzstādīšanai. Vēršam uzmanību, ka Ministru kabineta 2024.gada 4.jūnija rīkojuma Nr.443 “Par konceptuālo ziņojumu “Par Latvijas Nacionālā arhīva Vidzemes reģiona centra, Cēsu Vēstures un mākslas muzeja krātuvju un Valsts zemes dienesta Vidzemes reģionālās pārvaldes centrālā arhīva izveidi Cēsīs” (turpmāk – MK rīkojums Nr.443) 7.2.apakšpunkts paredz  Kultūras ministrijai, sagatavojot un iesniedzot Finanšu ministrijā priekšlikumus likumprojektam par valsts budžetu kārtējam gadam, paredzēt finansējumu Latvijas Nacionālajam arhīvam aprīkojuma iegādes izdevumu segšanai 2027.gadā, nepārsniedzot 1 483 092 </w:t>
            </w:r>
            <w:r w:rsidR="00000000" w:rsidRPr="00000000" w:rsidDel="00000000">
              <w:rPr>
                <w:i w:val="1"/>
                <w:rtl w:val="0"/>
              </w:rPr>
              <w:t xml:space="preserve">euro</w:t>
            </w:r>
            <w:r w:rsidR="00000000" w:rsidRPr="00000000" w:rsidDel="00000000">
              <w:rPr>
                <w:rtl w:val="0"/>
              </w:rPr>
              <w:t xml:space="preserve">. Ņemot vērā, ka aprīkojuma iegādi plānots nodrošināt no elastības finansējuma, vienlaikus Ministru kabineta sēdē ir virzāmi grozījumi MK rīkojumā Nr.433, svītrojot 7.2.apakšpunktu.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Kultūras ministrija plāno virzīt grozījumus rīkojumā Nr. 433. Lai mazinātu administratīvo slogu, grozījumus rīkojumā Nr. 433 plānots virzīt pēc būvdarbu iepirkuma (CNP 2026/8/ERAF  Nacionālā dokumentārā mantojuma un Nacionālā muzeju krājuma saglabāšanas un infrastruktūras izveide Cēsīs https://www.eis.gov.lv/EKEIS/Procurement/Edit/165679) rezultātu saņemšanas un līguma noslēgšanas ar būvnieku, kas daļēji tiks finansēts 5.1.1.7.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aprīkojuma iegāde un iebūvētā aprīkojuma iebūvēšana tiek paredzēta būvdarbu iepirkuma ietvaros, Kultūras ministrija rīkojumu Nr. 433 precizēs atbilstoši būvdarbu iepirkuma rezultātā saņemtajai informācijai, tai skaitā precizējot finansējuma avotu aprīkojuma iegādes izdevumu segšanai un nodrošinot finansējuma nepārklāšanos.”.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noteikto regulējumu, lai nodrošinātu tiesiskās paļāvības principa ievērošanu, lūdzam papildināt anotāciju ar informāciju par veikto grozījumu ietekmi uz finansējuma saņēmēju, tostarp nepieciešamību veikt grozījumus vienošanās par projekta īstenošanu, un vai attiecīgie grozījumi nav uzskatāmi par būtiskiem.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Projektu paredzēta 5.1.1.7. pasākuma elastības finansējuma novirzīšana Nacionālā dokumentārā mantojuma un Nacionālā muzeju krājuma saglabāšanas infrastruktūras izveides Cēsīs projektam, plānotie grozījumi nav uzskatāmi par būtiskiem, tādējādi Projektam nav ietekmes uz 5.1.1.7. pasākuma finansējuma saņēmēju.”.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veiktie grozījumi paredz izmaiņas izmaksu attiecināmības nosacījumos, lūdzam papildināt anotāciju ar informāciju, ka ir pārvērtētas visas izmaksu pozīcijas un nosacījumi Ministru kabineta 2023. gada 10. oktobra noteikumos Nr. 576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5.1.1.7. pasākuma "Reģionālās kultūras infrastruktūras attīstība kultūras pakalpojumu piekļūstamības uzlabošanai" īstenošanas noteikumi" (turpmāk – MK noteikumi Nr.576), t.sk., ietekme uz jau īstenošanā esošajiem projektiem un ka projekta atbalstāmās darbības tiek īstenotas atbilstoši drošas finanšu pārvaldības principiem, ievērojot samērīguma principus un visas darbības tiek veiktas, lai publiskais finansējums tiktu investēts lietderīgi, efektīvi, atbildīgi, rūpīgi un atbilstoši plānotajam mērķim un saskaņā ar normatīvo regulējumu. Iestādes vadītājs ir atbildīgs par iestādes un tās īstenoto projektu finanšu līdzekļu efektīvu un lietderīgu izmantošanu, tai skaitā atbilstību attiecināmības, saimnieciskuma, lietderības un efektivitātes pamatprincipiem, novēršot līdzekļu izšķērdēšanas riska iestāšanos.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“Plānotās aprīkojuma izmaksas atbilst Noteikumos Nr. 576 noteiktajām attiecināmajām izmaksām un atbalstāmajām darbībām un izmaksu iekļaušana projektā neradīs negatīvu ietekmi uz jau īstenošanā esošajiem projektiem. Projekta atbalstāmās darbības tiks īstenotas atbilstoši drošas finanšu pārvaldības principiem, ievērojot samērīguma principus, kā arī nodrošinot publiskā finansējuma lietderīgu, efektīvu, atbildīgu, rūpīgi un mērķtiecīgu izmantošanu saskaņā ar normatīvo regulējumu. Cēsu novada pašvaldība ir atbildīga par īstenotā projekta finanšu līdzekļu efektīvu un lietderīgu izmantošanu, tai skaitā atbilstību attiecināmības, saimnieciskuma, lietderības un efektivitātes pamatprincipiem, novēršot līdzekļu izšķērdēšanas riska iestāšanos.”.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izvērstāku pamatojumu, kāpēc paredzēts piesaistīt jauno sadarbības partneri – Latvijas Nacionālo arhīvu, tam novirzot elastības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2024. gada 4. jūnija rīkojumu Nr. 443 “Par konceptuālo ziņojumu “Par Latvijas Nacionālā arhīva Vidzemes reģiona centra, Cēsu Vēstures un mākslas muzeja krātuvju un Valsts zemes dienesta Vidzemes reģionālās pārvaldes centrālā arhīva izveidi Cēsīs” tika atbalstīts Kultūras ministrijas izstrādātais konceptuālais ziņojums “Par Latvijas Nacionālā arhīva Vidzemes reģiona centra, Cēsu Vēstures un mākslas muzeja krātuvju un Valsts zemes dienesta Vidzemes reģionālās pārvaldes centrālā arhīva izveidi Cēsīs” (turpmāk – ziņojums). Ziņojuma sadaļas “IV. Risinājuma varianti” 2. risinājuma varianta “Vienotā kompleksa izbūve LNA Vidzemes reģiona centra, Muzeja krājuma un VZD Vidzemes reģionālās pārvaldes centrālā arhīva izveide Cēsīs” 3. punkts nosaka, ka pēc Latvijas Nacionālā arhīva Vidzemes reģiona centra, Cēsu Vēstures un mākslas muzeja krājumu un Valsts zemes dienesta Vidzemes reģionālās pārvaldes centrālā arhīva kompleksa izbūves, Cēsu novada pašvaldība lemj par kopīpašuma, kurā ietilpst zemesgabals (zemes vienības kadastra apzīmējums Nr. 4201 008 1140), sadalīšanu domājamās daļās un nodošanu Latvijas valstij Kultūras ministrijas personā saskaņā ar Publiskas personas mantas atsavināšanas likuma 42. panta otro daļu. Savukārt jaunuzbūvētās ēkas domājamās daļas tiks nodotas Latvijas valstij Kultūras ministrijas personā īpašumā, pamatojoties uz noslēgto sadarbības līgumu. Sadalīšana domājamās daļās, tikai par Latvijas Nacionālā arhīva aizņemto ēkas daļu, un nodošanu Latvijas valstij Kultūras ministrijas personā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jaunuzbūvētās ēkas domājamās daļas būs reģistrētas Zemesgrāmatā uz Latvijas valsts vārda Kultūras ministrijas personā, kas tiks nodotas lietošanā Latvijas Nacionālā arhīvam, arī aprīkojums ir iegādājams Latvijas Nacionālā arhīva vārdā.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Noteikumos Nr. 576 nepieciešams noteikt iespēju, ka projekta iesniedzējs 5.1.1.7. pasākuma ietvaros projekta īstenošanai var piesaistīt sadarbības partneri – Latvijas Nacionālo arhīvu, tādējādi nodrošinot, ka projekta ietvaros iegādātais aprīkojums tiek nodots Latvijas Nacionālā arhīva īpašumā. Ņemot to vērā nepieciešams veikt grozījumus Noteikumu Nr. 576 21. punktā, papildinot sadarbības partneru loku.”.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Cēsu novada pašvaldības un Latvijas Nacionālā arhīva juridisko statusu, kā arī anotācijas 7.1.apakšsadaļā norādīto, lūdzam Cēsu novada pašvaldību un Latvijas Nacionālo arhīvu svītrot no anotācijas 2.1. apakšsadaļas.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anotācijā ietvert izvērstu skaidrojumu par to, kādā veidā un kādos aspektos tiks palielināts administratīvais slogs finansējuma saņēmējiem un Eiropas Savienības fondu vadībā iesaistītajām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Noteikumu projekta anotācijas 7.1. apakšsadaļā norādītā informācija. Skaidrojam, ka konkrētie grozījumi nepalielinās administratīvo slogu īstenošanā esošajiem projektiem, jo netiek palielināta finansējuma saņēmēja projekta vadības komanda un netiek piesaistīti papildu resursi jau esošajiem Kultūras ministrijā un Centrālajā finanšu un līgumu aģentūrā.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tas atbilst grūtībās nonākuša komersanta statusam saskaņā ar regulas Nr. 651/2014 2. panta 18. punktā minēto definīciju;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 MK noteikumu Nr.576 redakcijas ir viennozīmīgi skaidrs, ka Komisijas regulas Nr.651/2014 2.panta 18.punkta, kā arī 1.panta 4.punkta nosacījumi ir jāvērtē/jāpiemēro uzņēmuma grupas līmenī (Komisijas Regulas Nr. 651/2014 angliskajā versijā nosacījumi, kas ir attiecināmi uz "undertaking", ir jāpārbauda/jāpiemēro uzņēmuma grupas līmenī), lūdzam precizēt noteikumu projekta 25.1. apakšpunktu, papildinot ar nosacījumu, ka projekta iesniedzējs un sadarbības partneris (ja attiecināms) tiks vērtēti uzņēmuma grupas līmenī. Lūdzam pēc analoģijas precizēt arī noteikumu projekta 44.3.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tas atbilst grūtībās nonākuša komersanta (grupas līmenī) statusam saskaņā ar regulas Nr. 651/2014 2. panta 18. punktā minēto definīciju;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 nodrošina interešu konflikta neesību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Nr. 2018/1046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w:t>
            </w:r>
            <w:r w:rsidR="00000000" w:rsidRPr="00000000" w:rsidDel="00000000">
              <w:rPr>
                <w:i w:val="1"/>
                <w:rtl w:val="0"/>
              </w:rPr>
              <w:t xml:space="preserve">Euratom</w:t>
            </w:r>
            <w:r w:rsidR="00000000" w:rsidRPr="00000000" w:rsidDel="00000000">
              <w:rPr>
                <w:rtl w:val="0"/>
              </w:rPr>
              <w:t xml:space="preserve">) Nr. 966/2012, 61. panta prasībām, kā arī ar parakstu apliecina interešu konflikta neesību.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MK noteikumu Nr.576 31.8.apakšpunktu un svītrot tajā atsauci uz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pantu, ņemot vērā ka minētajā pantā ietvertās prasības ir tieši piemērojamas tādiem projektiem, kas saistīti ar Eiropas Savienības (ES) fondu atbalsta saņemšanu un vienlaikus kuros atbilstoši specifiskā atbalsta mērķim finansējuma saņēmējs atlases kārtībā ES fondu dalībniekiem, gala saņēmējiem vai sadarbības partneriem sniedz finansiālu atbalstu (t.s. daudzpakāpju projekti). Turklāt vēršam uzmanību, ka noteikumu projektos būtu jāatsaucas uz Eiropas Parlamenta un Padomes 2024. gada 23. septembra Regulu (ES, Euratom) 2024/2509 par finanšu noteikumiem, ko piemēro Savienības vispārējam budžetam (pārstrādātā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 nodrošina interešu konflikta neesību.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35.12. šo noteikumu </w:t>
            </w:r>
            <w:r w:rsidR="00000000" w:rsidRPr="00000000" w:rsidDel="00000000">
              <w:rPr>
                <w:rtl w:val="0"/>
              </w:rPr>
              <w:t xml:space="preserve">35.2.</w:t>
            </w:r>
            <w:r w:rsidR="00000000" w:rsidRPr="00000000" w:rsidDel="00000000">
              <w:rPr>
                <w:rtl w:val="0"/>
              </w:rPr>
              <w:t xml:space="preserve">un </w:t>
            </w:r>
            <w:r w:rsidR="00000000" w:rsidRPr="00000000" w:rsidDel="00000000">
              <w:rPr>
                <w:rtl w:val="0"/>
              </w:rPr>
              <w:t xml:space="preserve">35.3.</w:t>
            </w:r>
            <w:r w:rsidR="00000000" w:rsidRPr="00000000" w:rsidDel="00000000">
              <w:rPr>
                <w:rtl w:val="0"/>
              </w:rPr>
              <w:t xml:space="preserve"> apakšpunktā</w:t>
            </w:r>
            <w:r w:rsidR="00000000" w:rsidRPr="00000000" w:rsidDel="00000000">
              <w:rPr>
                <w:rtl w:val="0"/>
              </w:rPr>
              <w:t xml:space="preserve"> minētās izmaksas, nepārsniedzot 10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35.12.apakšpunktā nav noteikts, vai procentuālais ierobežojums aprēķināms no projekta plānotajām vai faktiskajām attiecināmajām izmaksām, kas atbilst Vadošās iestādes Vadlīniju attiecināmo izmaksu noteikšanai Eiropas Savienības kohēzijas politikas programmas 2021.-2027.gada plānošanas periodā (turpmāk- vadlīnijas) 19.punktam, tomēr, ņemot vērā atsevišķus Revīzijas iestādes konstatējumus attiecībā uz situācijām, kad projekta īstenošanas gaitā rodas neatbilstoši veiktie izdevumi vai ietaupījums, kas var novest pie procentuālā ierobežojuma pārsnieguma konstatēšanas, pat ja izdevumi atbilst apstiprinātajam projekta budžetam, vadlīnijās paredzēts veikt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iespēju un nepieciešamību precizēt procentuālā ierobežojuma piemērošanas nosacījumus, nodrošinot, lai tie būtu viennozīmīgi, saprotami un praksē vienādi piemērojami visām iesaistītajām pusēm, nosakot, ka procentuālais ierobežojums tiek aprēķināts attiecībā pret projekta plānotajām kopējām tiešajām 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35.12. šo noteikumu 35.2.un 35.3. apakšpunktā minētās izmaksas, nepārsniedzot 10 procentus no projekta plānotajām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35.12. šo noteikumu </w:t>
            </w:r>
            <w:r w:rsidR="00000000" w:rsidRPr="00000000" w:rsidDel="00000000">
              <w:rPr>
                <w:rtl w:val="0"/>
              </w:rPr>
              <w:t xml:space="preserve">35.2.</w:t>
            </w:r>
            <w:r w:rsidR="00000000" w:rsidRPr="00000000" w:rsidDel="00000000">
              <w:rPr>
                <w:rtl w:val="0"/>
              </w:rPr>
              <w:t xml:space="preserve">un </w:t>
            </w:r>
            <w:r w:rsidR="00000000" w:rsidRPr="00000000" w:rsidDel="00000000">
              <w:rPr>
                <w:rtl w:val="0"/>
              </w:rPr>
              <w:t xml:space="preserve">35.3.</w:t>
            </w:r>
            <w:r w:rsidR="00000000" w:rsidRPr="00000000" w:rsidDel="00000000">
              <w:rPr>
                <w:rtl w:val="0"/>
              </w:rPr>
              <w:t xml:space="preserve"> apakšpunktā</w:t>
            </w:r>
            <w:r w:rsidR="00000000" w:rsidRPr="00000000" w:rsidDel="00000000">
              <w:rPr>
                <w:rtl w:val="0"/>
              </w:rPr>
              <w:t xml:space="preserve"> minētās izmaksas, nepārsniedzot 10 procentus no projekta plānotajām kopējām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regulas Nr. 651/2014 9. panta 1. punkta "c" apakšpunktā un 4. punktā noteikto publicitātes pasākumu izpildi atbilstoši normatīvajam aktam par kārtību, kādā publicē informāciju par sniegto komercdarbības atbalstu un piešķir un anulē elektroniskās sistēmas lietošanas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2025. gada 25. jūlijā ir stājušies spēkā grozījumi Ministru kabineta 2016. gada 21. jūnija noteikumos Nr. 386 "Kārtība, kādā publicē informāciju par sniegto komercdarbības atbalstu un piešķir un anulē elektroniskās sistēmas lietošanas tiesības" (turpmāk – MK noteikumi Nr.386), ar kuru tika grozīts iepriekš minēto MK noteikumu Nr.386 nosaukums uz "Kārtība, kādā publicē informāciju par sniegto komercdarbības atbalstu", lūdzam atbilstoši precizēt noteikumu 49.1.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regulas Nr. 651/2014 9. panta 1. punkta "c" apakšpunktā un 4. punktā noteikto publicitātes pasākumu izpildi atbilstoši normatīvajam aktam par kārtību, kādā publicē informāciju par sniegto komercdarbības atbalstu;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26-TA-890</w:t>
    </w:r>
    <w:r>
      <w:br/>
    </w:r>
    <w:r w:rsidR="00000000" w:rsidRPr="00000000" w:rsidDel="00000000">
      <w:rPr>
        <w:rtl w:val="0"/>
      </w:rPr>
      <w:t xml:space="preserve">22.05.2026. 15.36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26-TA-890</w:t>
    </w:r>
    <w:r>
      <w:br/>
    </w:r>
    <w:r w:rsidR="00000000" w:rsidRPr="00000000" w:rsidDel="00000000">
      <w:rPr>
        <w:rtl w:val="0"/>
      </w:rPr>
      <w:t xml:space="preserve">22.05.2026. 15.36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Izziņa_26-TA-890.docx</dc:title>
</cp:coreProperties>
</file>

<file path=docProps/custom.xml><?xml version="1.0" encoding="utf-8"?>
<Properties xmlns="http://schemas.openxmlformats.org/officeDocument/2006/custom-properties" xmlns:vt="http://schemas.openxmlformats.org/officeDocument/2006/docPropsVTypes"/>
</file>