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22-TA-3331: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2014. gada 14. janvāra noteikumos Nr. 18 "Noteikumi par 2006.gada Konvencijas par darbu jūrniecībā (MLC konvencija) piemērojamām prasībām attiecībā uz dzīvojamām telpām un atpūtai paredzēto aprīkojumu uz kuģa un šo prasību ievērošanas nosacījumi"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noteikumu projektā ietvertās atsauces uz divām starptautiskām konvencijām, kā arī anotācijā ietverto informāciju par atbilstību 2006.gada Konvencijai par darbu jūrniecībā (MLC konvencija) (turpmāk - MLC konvencija), lūdzam aizpildīt anotācijas 5. sadaļu, norādot konkrētas attiecīgo konvenciju prasības, kas tiek izpildītas vai uzņemtas ar noteikumu projekta attiecīgām vienībām.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anotācijas 1.3. sadaļā minēto ne tikai par projekta 3. punkta, bet arī citu normu (piemēram, projekta 4. un 6. punkts) saistību ar 2006.gada konvencijā par darbu jūrniecībā (turpmāk - MLC konvencija) ietverto prasību pilnīgu nodrošināšanu, lūdzam pilnīgi aizpildīt anotācijas 5. sadaļu, norādot konkrētas konvencijas prasības, kas tiek izpildītas vai uzņemtas ar noteikumu projekta attiecīgām vienībām.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5.5. 2. tabula. Ar tiesību akta projektu izpildītās vai uzņemtās saistības, kas izriet no starptautiskajiem tiesību aktiem vai starptautiskas institūcijas vai organizācijas dokumentiem. Pasākumi šo saistību izpildei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Kuģiem, kuriem līgums par kuģa būvi ir noslēgts pirms 2013.gada 20.augusta, piemēro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Attiecībā uz izziņas 2. punktā ietverto iebildumu par noteikumu 2.</w:t>
            </w:r>
            <w:r w:rsidR="00000000" w:rsidRPr="00000000" w:rsidDel="00000000">
              <w:rPr>
                <w:vertAlign w:val="superscript"/>
                <w:rtl w:val="0"/>
              </w:rPr>
              <w:t xml:space="preserve">2</w:t>
            </w:r>
            <w:r w:rsidR="00000000" w:rsidRPr="00000000" w:rsidDel="00000000">
              <w:rPr>
                <w:rtl w:val="0"/>
              </w:rPr>
              <w:t xml:space="preserve">punktu, un ņemot vērā anotācijā minēto, ka projektā ietvertās izmaiņas izriet citstarp no Starptautiskās darba organizācijas Konvenciju un rekomendāciju ieviešanas ekspertu komitejas norādījumiem, izprotam vēlmi veikt izmaiņas normatīvajā regulējumā. Tomēr lūdzam anotācijā skaidri norādīt, ka šāda pieeja ir izņēmuma gadījums, lai normatīvais regulējums būtu pilnīgi skaidrs un saprotams privātpersonām, un ka prasības privātpersonām pēc būtības nemainās.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lūdzam ņemt vērā, ka šāda pieeja starptautisko līgumu ieviešanā, t.i., pieeja, ka starptautisko līgumu normas, kurām ir </w:t>
            </w:r>
            <w:r w:rsidR="00000000" w:rsidRPr="00000000" w:rsidDel="00000000">
              <w:rPr>
                <w:u w:val="single"/>
                <w:rtl w:val="0"/>
              </w:rPr>
              <w:t xml:space="preserve">ārēja normatīvā akta spēks un kuras iespējams piemērot tieši</w:t>
            </w:r>
            <w:r w:rsidR="00000000" w:rsidRPr="00000000" w:rsidDel="00000000">
              <w:rPr>
                <w:rtl w:val="0"/>
              </w:rPr>
              <w:t xml:space="preserve">, tiek detalizēti pārrakstītas nacionālajā tiesiskajā regulējumā, nav atbalstāma un veicināma.  Šāda pieeja nevajadzīgi palielina normatīvo aktu skaitu un apjomu, turklāt var radīt interpertācijas un piemērošanas sarežģījumus (piemēram, jautājumus, kāpēc vienā gadījumā Latvijas tiesību sistēmā ienesta līguma normas ir pārrakstītas nacionālajā regulējumā, bet citā gadījumā - nav).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Savukārt attiecībā uz projekta 3. punktā izteiktā noteikumu 2.</w:t>
            </w:r>
            <w:r w:rsidR="00000000" w:rsidRPr="00000000" w:rsidDel="00000000">
              <w:rPr>
                <w:vertAlign w:val="superscript"/>
                <w:rtl w:val="0"/>
              </w:rPr>
              <w:t xml:space="preserve">2</w:t>
            </w:r>
            <w:r w:rsidR="00000000" w:rsidRPr="00000000" w:rsidDel="00000000">
              <w:rPr>
                <w:rtl w:val="0"/>
              </w:rPr>
              <w:t xml:space="preserve"> 2. apakšpunktu atkārtoti vēršam uzmanību, ka jaunas prasības kuģiem ar atpakaļejošu spēku noteikt nedrīkst. MLC konvencijas normas jau tika pārņemtas noteikumu tekstā un tajā minētās prasības nebija attiecinātas uz kuģiem, kuriem līgums par kuģa būvi noslēgts pirms 2013. gada 20. augusta, līdz ar to, faktiski, šķiet, tiek noteiktas jaunas prasības ar atpakaļejošu spēku. Atkārtoti norādām, ka Latvijas tiesību sistēmā nav piemērojamas tiesību normas ar atpakaļejošu spēku. Proti, Oficiālo publikāciju un tiesiskās informācijas likuma 9. panta ceturtā daļa noteic, ka normatīvajiem aktiem nav atpakaļejoša spēka, izņemot likumā īpaši paredzētus gadījumus. Vēršam arī uzmanību, ka minētā projekta norma anotācijā izvērstāk nav skaidrota, kā arī nav skaidrots, kādēļ tajā paredzēti tieši konkrētie noteikumu punkti. Attiecīgi lūdzam izvērtēt un sniegt pamatotus skaidrojumus anotācijā vai precizēt projektu, svītrojot minēto normu.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arī skaidrot projekta anotācijā projekta atbilstību Jūrlietu pārvaldes un jūras drošības likuma 30.panta trešajā daļā paredzētajam pilnvarojumam, ņemot vērā tajā ietverto norādi uz "piemērojamām </w:t>
            </w:r>
            <w:r w:rsidR="00000000" w:rsidRPr="00000000" w:rsidDel="00000000">
              <w:rPr>
                <w:u w:val="single"/>
                <w:rtl w:val="0"/>
              </w:rPr>
              <w:t xml:space="preserve">MLC konvencijas</w:t>
            </w:r>
            <w:r w:rsidR="00000000" w:rsidRPr="00000000" w:rsidDel="00000000">
              <w:rPr>
                <w:rtl w:val="0"/>
              </w:rPr>
              <w:t xml:space="preserve">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lūdzam projekta anotāciju papildināt ar informāciju par to, kādas konsultācijas ir notikušas ar privātpersonām, kuras skar projekts, vai to pārstāvošajām organizācijām, un vai tās ir informētas par projektu. Tāpat lūdzam anotācijā norādīt, ka projekta ietekme (proti, kā norādīts anotācijā - "jaunas prasības netiek noteiktas") tiks skaidrota attiecīgajām privātpersonām.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Kuģiem, kuriem līgums par kuģa būvi ir noslēgts pirms 2013.gada 20.augusta, piemēro šādas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Kuģiem, kuriem līgums par kuģa būvi ir noslēgts pirms 2013.gada 20.augusta, piemēro šādas prasības: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Ministru kabineta 2014. gada 14. janvāra noteikumi Nr. 18 "Noteikumi par 2006.gada Konvencijas par darbu jūrniecībā (MLC konvencija) piemērojamām prasībām attiecībā uz dzīvojamām telpām un atpūtai paredzēto aprīkojumu uz kuģa un šo prasību ievērošanas nosacījumi" (turpmāk - noteikumi Nr. 18) nosaka MLC konvencijas piemērojamās prasības attiecībā uz dzīvojamām telpām un atpūtai paredzēto aprīkojumu uz kuģa un šo prasību ievērošanas nosacījumus (noteikumu 1. punkts) un attiecas uz visiem komercdarbībā iesaistītajiem kuģiem (ar izņēmumiem), kuriem līgums par kuģa būvi ir noslēgts 2013.gada 20.augustā vai vēlāk (noteikumu 2. 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1.-3. punkts paredz būtībā papildinājumu, nosakot, kādas prasības attiecas uz kuģiem, kuriem līgums par kuģa būvi ir noslēgts pirms 2013.gada 20.augusta. Saistībā ar paredzēto regulējumu lūdzam izvērtēt un izvērstāk skaidrot šādus jautājumus: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Anotācijā minēts, ka attiecīgajiem kuģiem prasības pēc būtības nemainās. Lūdzam izvērstāk skaidrot minēto apgalvojumu, ņemot vērā, ka noteikumos Nr. 18 pašreiz nav ietverts nekāds regulējums attiecībā uz kuģiem, kuriem līgums par kuģa būvi noslēgts pirms 2013. gada 20. augusta (sk. arī noteikumu Nr. 18 anotāciju). Saistībā ar minēto vēršam uzmanību arī uz MLC konvencijas 3.1. noteikuma 2. punktā citstarp minēto: "[..] </w:t>
            </w:r>
            <w:r w:rsidR="00000000" w:rsidRPr="00000000" w:rsidDel="00000000">
              <w:rPr>
                <w:i w:val="1"/>
                <w:rtl w:val="0"/>
              </w:rPr>
              <w:t xml:space="preserve">Attiecībā uz kuģiem, kas būvēti pirms minētā datuma, paliek spēkā tās prasības par kuģu būvniecību un aprīkošanu, kuras izklāstītas 1949. gada pārskatītajā Konvencijā par apkalpes telpām (nr. 92) un 1970. gada Konvencijā par apkalpes telpām (papildus noteikumi) (nr. 133), </w:t>
            </w:r>
            <w:r w:rsidR="00000000" w:rsidRPr="00000000" w:rsidDel="00000000">
              <w:rPr>
                <w:i w:val="1"/>
                <w:u w:val="single"/>
                <w:rtl w:val="0"/>
              </w:rPr>
              <w:t xml:space="preserve">tiktāl, cik tās bija spēkā pirms minētā datuma saskaņā ar attiecīgās dalībvalsts normatīvajiem aktiem vai praksi.</w:t>
            </w:r>
            <w:r w:rsidR="00000000" w:rsidRPr="00000000" w:rsidDel="00000000">
              <w:rPr>
                <w:rtl w:val="0"/>
              </w:rPr>
              <w:t xml:space="preserve"> [..]" Attiecīgi lūdzam skaidrot, kāds regulējums ir līdz šim bijis piemērojams normā minētajiem kuģiem. Lūdzam arī skaidrot izvēli paredzēt attiecīgās prasības ar atsauci uz starptautiskām konvencijām, nevis (līdzīgi kā ar MLC konvenciju prasību pārņemšanu) paredzot projektā konkrētas prasības. Lūdzam arī izvērstāk skaidrot projekta 3. punktā paredzētā regulējuma (īpaši noteikumu 2.</w:t>
            </w:r>
            <w:r w:rsidR="00000000" w:rsidRPr="00000000" w:rsidDel="00000000">
              <w:rPr>
                <w:vertAlign w:val="superscript"/>
                <w:rtl w:val="0"/>
              </w:rPr>
              <w:t xml:space="preserve">2</w:t>
            </w:r>
            <w:r w:rsidR="00000000" w:rsidRPr="00000000" w:rsidDel="00000000">
              <w:rPr>
                <w:rtl w:val="0"/>
              </w:rPr>
              <w:t xml:space="preserve"> 2. apakšpunkta) piemērošanas iespējamību kuģiem, kuriem līgums par kuģa būvi ir noslēgts pirms 2013. gada 20. augusta. Piemēram, nav skaidrs, kā tādam kuģim, kuram jau līgums ir noslēgts pirms minētā datuma, vispār var piemērot, piemēram, 57. punktu. Nav arī pilnīgi skaidrs, vai ar šādu regulējumu faktiski kaut kā netiek regulētas pagātnes situācijas. Vēršam uzmanību, ka Latvijas tiesību sistēmā nav piemērojamas tiesību normas ar atpakaļejošu spēku. Proti, Oficiālo publikāciju un tiesiskās informācijas likuma 9. panta ceturtā daļa noteic, ka normatīvajiem aktiem nav atpakaļejoša spēka, izņemot likumā īpaši paredzētus gadījumus. Attiecīgi lūdzam sniegt skaidrojumus anotācijā vai nepieciešamības gadījumā precizēt projektu.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Saistībā arī ar iepriekš minēto lūdzam arī skaidrot minēto konvenciju saistošo spēku attiecībā uz Latviju, kā arī latviskā tulkojuma pieejamību oficiālajā laikrakstā. Vēršam uzmanību, ka starptautiskās normas, kas nav tulkotas latviešu valodā un publicētas oficiālajā laikrakstā, nav piemērojamas attiecībā uz fizisku vai privāto tiesību juridisku personu. Latvijas Republikas Satversmes 90. pants noteic, ka „</w:t>
            </w:r>
            <w:r w:rsidR="00000000" w:rsidRPr="00000000" w:rsidDel="00000000">
              <w:rPr>
                <w:i w:val="1"/>
                <w:rtl w:val="0"/>
              </w:rPr>
              <w:t xml:space="preserve">[i]kvienam ir tiesības zināt savas tiesības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Papildus konvenciju prasībām projekta 3. punktā minētas arī konkrētas noteikumu prasības, kas attiecīgajiem kuģiem jāievēro. Ņemot vērā MLC konvencijas 3.1. noteikuma 2. punkta formulējumu, lūdzam anotācijā izvērstāk skaidrot projekta 3. punktā izteikto noteikumu 2.</w:t>
            </w:r>
            <w:r w:rsidR="00000000" w:rsidRPr="00000000" w:rsidDel="00000000">
              <w:rPr>
                <w:vertAlign w:val="superscript"/>
                <w:rtl w:val="0"/>
              </w:rPr>
              <w:t xml:space="preserve">2 </w:t>
            </w:r>
            <w:r w:rsidR="00000000" w:rsidRPr="00000000" w:rsidDel="00000000">
              <w:rPr>
                <w:rtl w:val="0"/>
              </w:rPr>
              <w:t xml:space="preserve">2. apakšpunktu un tā nepieciešamību, kā arī kādēļ paredzētas tieši konkrētās noteikumu vienības. Saistībā ar minēto lūdzam arī skaidrot projekta atbilstību Jūrlietu pārvaldes un jūras drošības likuma 30.panta trešajā daļā paredzētajam pilnvarojumam, ņemot vērā tajā ietverto norādi uz "piemērojamām MLC konvencijas prasībām".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Pamatojoties uz MLC konvencijas 3.1. noteikuma 2. punktā minēto Latvijas kuģiem, kuriem līgums par kuģa būvi noslēgts pirms 2013. gada 20. augusta, līdz šim tika piemērotas 1970. gada Konvencijā par apkalpes telpām (papildus noteikumi) (nr. 133) noteiktās prasības (prasības, kas bija spēkā Latvijā pirms MLC konvencijas spēkā stāšanās), kā to paredz minētā MLC konvencijas norma. Arī turpmāk šiem kuģiem tiks piemērotas šīs prasības. Tāpēc pēc būtības šiem kuģiem nekas nemainās, jo projekts nenosaka jaunas prasības, bet tikai papildina MK noteikumus Nr.18 ar atsauci uz jau spēkā esošajām prasībām, kuras jau tiek ievērotas un kuru izpilde tiek kontrolēta no MLC konvencijas stāšanās spēkā, kā arī tika kontrolēta līdz tam. Precizēts projekta 3.punkts.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ietvertās prasības attiecas uz starptautiskajā kuģošanā iesaistītajiem kuģiem. Lai visām kuģa darbības nodrošināšanā  iesaistītajām pusēm (Latvijas un citu valstu rezidentiem - kuģu īpašniekiem, klasifikācijas sabiedrībām u.c.), būtu vieglāk strādāt, nodrošinot attiecīgo prasību izpildi un kontroli, ir nepieciešams saglabāt MLC konvencijā izmantoto regulējuma izteiksmes formu. Tas, ka arī MLC konvencijas izstrādātāji tādu ir izvēlējušies, nav nejaušība. Mehāniska normu pārlikšana nacionālajā normatīvajā aktā nedod nekādus ieguvumus.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 iepriekš tika skaidrots, ka attiecībā uz kuģiem, kuriem līgums par kuģa būvi ir noslēgts pirms 2013. gada 20. augusta, projekts pēc būtības nenosaka jaunas prasības. Ar projektu tikai MK noteikumos Nr.18 tiek ietverta atsauce uz šiem kuģiem jau piemērojamām prasībām.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Projektā paredzētā regulējuma noteikumu 2.</w:t>
            </w:r>
            <w:r w:rsidR="00000000" w:rsidRPr="00000000" w:rsidDel="00000000">
              <w:rPr>
                <w:vertAlign w:val="superscript"/>
                <w:rtl w:val="0"/>
              </w:rPr>
              <w:t xml:space="preserve">2</w:t>
            </w:r>
            <w:r w:rsidR="00000000" w:rsidRPr="00000000" w:rsidDel="00000000">
              <w:rPr>
                <w:rtl w:val="0"/>
              </w:rPr>
              <w:t xml:space="preserve">2. apakšpunktā norādītajām prasībām turpmākā piemērošanā uz kuģiem, kuriem līgums par kuģa būvi ir noslēgts pirms 2013. gada 20. augusta, nav saskatāmas problēmas. Piemēram, arī līdz šim atbilstoši 1970. gada Konvencijas par apkalpes telpām (papildus noteikumi) (nr. 133) 7. pantam uz kuģa ir jānodrošina parocīgi izvietotas un pienācīgi mēbelētas atpūtas telpas.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MLC konvencija Latvijā stājās spēkā 2013.gada 20.augustā (Lūdzu skatīt Ārlietu ministrijas informāciju https://likumi.lv/ta/id/251954-par-konvencijas-speka-stasanos).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MLC konvencijas 3.1. noteikuma 2.punkts paredz, ka kuģiem, kuriem līgums par kuģa būvi ir noslēgts pirms 2013.gada 20.augusta tiek piemērotas 1949. gada pārskatītajā Konvencijā par apkalpes telpām (nr. 92) un 1970. gada Konvencijā par apkalpes telpām (papildus noteikumi) (nr. 133) noteiktās prasības tiktāl, cik tās bija spēkā pirms minētā datuma saskaņā ar attiecīgās dalībvalsts, proti, Latvijas, normatīvajiem aktiem vai praksi. Minētais MLC konvencijas nosacījums ir spēkā un saistošs Latvijā kā jebkurš cits MLC konvencijas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MLC konvencijas tulkojums ir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https://likumi.lv/ta/lv/starptautiskie-ligumi/id/1619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1970.gada 30.oktobra Konvencijas par apkalpes telpām (papildus noteikumi) tulkojums ir pieejams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https://likumi.lv/ta/lv/starptautiskie-ligumi/id/376</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Projekta 3.punktā izteiktā noteikumu 2.</w:t>
            </w:r>
            <w:r w:rsidR="00000000" w:rsidRPr="00000000" w:rsidDel="00000000">
              <w:rPr>
                <w:vertAlign w:val="superscript"/>
                <w:rtl w:val="0"/>
              </w:rPr>
              <w:t xml:space="preserve">2</w:t>
            </w:r>
            <w:r w:rsidR="00000000" w:rsidRPr="00000000" w:rsidDel="00000000">
              <w:rPr>
                <w:rtl w:val="0"/>
              </w:rPr>
              <w:t xml:space="preserve"> 2.apakšpunktā norādītās prasības projektā izceltas atsevišķi, lai ņemtu vērā Starptautiskās darba organizācijas Konvenciju un rekomendāciju ieviešanas ekspertu komitejas komentāru par to, ka minētās normas neesot “prasības par kuģu būvniecību un aprīkošanu”, attiecībā uz kurām kuģiem, kuriem līgums par kuģa būvi ir noslēgts pirms 2013. gada 20. augusta, var piemērot Konvencijā par apkalpes telpām (nr. 92) un 1970. gada Konvencijā par apkalpes telpām (papildus noteikumi) (nr. 133) noteiktās prasības. Tāpēc projektā, ietvertajā noteikumu 2.</w:t>
            </w:r>
            <w:r w:rsidR="00000000" w:rsidRPr="00000000" w:rsidDel="00000000">
              <w:rPr>
                <w:vertAlign w:val="superscript"/>
                <w:rtl w:val="0"/>
              </w:rPr>
              <w:t xml:space="preserve">2</w:t>
            </w:r>
            <w:r w:rsidR="00000000" w:rsidRPr="00000000" w:rsidDel="00000000">
              <w:rPr>
                <w:rtl w:val="0"/>
              </w:rPr>
              <w:t xml:space="preserve"> 2. apakšpunktā minētās prasības ir izceltas atsevišķi.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sk. skaidrojumu šīs sadaļas 1.punktā.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r w:rsidR="00000000" w:rsidRPr="00000000" w:rsidDel="00000000">
              <w:rPr>
                <w:vertAlign w:val="superscript"/>
                <w:rtl w:val="0"/>
              </w:rPr>
              <w:t xml:space="preserve">2</w:t>
            </w:r>
            <w:r w:rsidR="00000000" w:rsidRPr="00000000" w:rsidDel="00000000">
              <w:rPr>
                <w:rtl w:val="0"/>
              </w:rPr>
              <w:t xml:space="preserve"> Kuģiem, kuriem līgums par kuģa būvi ir noslēgts pirms 2013.gada 20.augusta, piemēro šādas prasības: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ir viegli tīrāmas un dezinficējamas, lai novērstu un ierobežotu slimību izplatīšanos.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- 18.01.2023.)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projekta 4. punktā jaunā redakcijā izteiktajā noteikumu 8.2. apakšpunktā, šķiet, veiktas saturiskas, nevis tikai redakcionālas (kā minēts anotācijā) izmaiņas. Ja pašreiz no 8.2. apakšpunkta redakcijas izriet, ka "gaisa kondicionēšanas sistēmas </w:t>
            </w:r>
            <w:r w:rsidR="00000000" w:rsidRPr="00000000" w:rsidDel="00000000">
              <w:rPr>
                <w:u w:val="single"/>
                <w:rtl w:val="0"/>
              </w:rPr>
              <w:t xml:space="preserve">sekmē vispārēju tīrīšanu un dezinfekciju</w:t>
            </w:r>
            <w:r w:rsidR="00000000" w:rsidRPr="00000000" w:rsidDel="00000000">
              <w:rPr>
                <w:rtl w:val="0"/>
              </w:rPr>
              <w:t xml:space="preserve">, lai novērstu un ierobežotu slimību izplatīšanos", tad projekta 4. punkts paredz, ka "gaisa kondicionēšanas sistēmas</w:t>
            </w:r>
            <w:r w:rsidR="00000000" w:rsidRPr="00000000" w:rsidDel="00000000">
              <w:rPr>
                <w:u w:val="single"/>
                <w:rtl w:val="0"/>
              </w:rPr>
              <w:t xml:space="preserve"> ir viegli tīrāmas un dezinficējamas</w:t>
            </w:r>
            <w:r w:rsidR="00000000" w:rsidRPr="00000000" w:rsidDel="00000000">
              <w:rPr>
                <w:rtl w:val="0"/>
              </w:rPr>
              <w:t xml:space="preserve">, lai novērstu un ierobežotu slimību izplatīšanos", kas ir atšķirīga satura norma. Turklāt MLC konvencijas B 3.1.2. norādījuma 2. punkta "b" apakšpunkts ir formulēts līdzīgi kā pašreizējais noteikumu 8.2. apakšpunkts: "</w:t>
            </w:r>
            <w:r w:rsidR="00000000" w:rsidRPr="00000000" w:rsidDel="00000000">
              <w:rPr>
                <w:i w:val="1"/>
                <w:rtl w:val="0"/>
              </w:rPr>
              <w:t xml:space="preserve">Gaisa kondicionēšanas sistēmām, neatkarīgi no tā, vai tās ir ar centralizētu vai individuālu kontroli, jābūt izstrādātām tā, lai [..] </w:t>
            </w:r>
            <w:r w:rsidR="00000000" w:rsidRPr="00000000" w:rsidDel="00000000">
              <w:rPr>
                <w:i w:val="1"/>
                <w:u w:val="single"/>
                <w:rtl w:val="0"/>
              </w:rPr>
              <w:t xml:space="preserve">sekmētu vieglu tīrīšanu un dezinfekciju,</w:t>
            </w:r>
            <w:r w:rsidR="00000000" w:rsidRPr="00000000" w:rsidDel="00000000">
              <w:rPr>
                <w:i w:val="1"/>
                <w:rtl w:val="0"/>
              </w:rPr>
              <w:t xml:space="preserve"> lai novērstu vai kontrolētu slimību izplatīšanos</w:t>
            </w:r>
            <w:r w:rsidR="00000000" w:rsidRPr="00000000" w:rsidDel="00000000">
              <w:rPr>
                <w:rtl w:val="0"/>
              </w:rPr>
              <w:t xml:space="preserve">." Ņemot vērā, ka anotācijā norādīts, ka izmaiņas veiktas, lai nodrošinātu pilnīgu atbilstību MLC konvencijā noteiktajam, nav saprotamas izdarītās izmaiņas un to nepieciešamība. Attiecīgi lūdzam vai nu svītrot projekta 4. punktu, vai nu to precizēt un sniegt skaidrojumu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- 01.02.2023.)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anotācijā minēto, ka projektā ietvertās izmaiņas izriet citstarp no Starptautiskās darba organizācijas Konvenciju un rekomendāciju ieviešanas ekspertu komitejas norādījumiem un ka projekts izstrādāts regulējuma skaidrībai un neparedz jaunas prasības privātpersonām, atkārtoti norādām, ka izprotam vēlmi veikt izmaiņas normatīvajā regulējumā. Reizē vēršam uzmanību, ka anotācijā dažviet ietverti pretrunīgi skaidrojumi. Piemēram, anotācijā attiecībā uz projekta 3. punktu norādīts, ka "</w:t>
            </w:r>
            <w:r w:rsidR="00000000" w:rsidRPr="00000000" w:rsidDel="00000000">
              <w:rPr>
                <w:i w:val="1"/>
                <w:rtl w:val="0"/>
              </w:rPr>
              <w:t xml:space="preserve">[p]rojekts paredz, ka Noteikumi Nr. 18 [..] </w:t>
            </w:r>
            <w:r w:rsidR="00000000" w:rsidRPr="00000000" w:rsidDel="00000000">
              <w:rPr>
                <w:i w:val="1"/>
                <w:u w:val="single"/>
                <w:rtl w:val="0"/>
              </w:rPr>
              <w:t xml:space="preserve">turpmāk noteiks</w:t>
            </w:r>
            <w:r w:rsidR="00000000" w:rsidRPr="00000000" w:rsidDel="00000000">
              <w:rPr>
                <w:i w:val="1"/>
                <w:rtl w:val="0"/>
              </w:rPr>
              <w:t xml:space="preserve"> attiecīgās prasības arī tiem Latvijas kuģiem, kuriem līgums par kuģa būvi ir noslēgts pirms 2013.gada 20.augusta</w:t>
            </w:r>
            <w:r w:rsidR="00000000" w:rsidRPr="00000000" w:rsidDel="00000000">
              <w:rPr>
                <w:rtl w:val="0"/>
              </w:rPr>
              <w:t xml:space="preserve">", no kā var noprast, ka iepriekš tādas prasības nav tikušas piemērotas, kaut gan anotācijā reizē vairākkārt uzsvērts, ka "</w:t>
            </w:r>
            <w:r w:rsidR="00000000" w:rsidRPr="00000000" w:rsidDel="00000000">
              <w:rPr>
                <w:i w:val="1"/>
                <w:rtl w:val="0"/>
              </w:rPr>
              <w:t xml:space="preserve">prasības pēc būtības nemainās</w:t>
            </w:r>
            <w:r w:rsidR="00000000" w:rsidRPr="00000000" w:rsidDel="00000000">
              <w:rPr>
                <w:rtl w:val="0"/>
              </w:rPr>
              <w:t xml:space="preserve">". Attiecīgi lūdzam ietvert konsekventus skaidrojumus, kas skaidri norāda, ka šāda pieeja ir </w:t>
            </w:r>
            <w:r w:rsidR="00000000" w:rsidRPr="00000000" w:rsidDel="00000000">
              <w:rPr>
                <w:u w:val="single"/>
                <w:rtl w:val="0"/>
              </w:rPr>
              <w:t xml:space="preserve">izņēmuma gadījums</w:t>
            </w:r>
            <w:r w:rsidR="00000000" w:rsidRPr="00000000" w:rsidDel="00000000">
              <w:rPr>
                <w:rtl w:val="0"/>
              </w:rPr>
              <w:t xml:space="preserve">, lai normatīvais regulējums </w:t>
            </w:r>
            <w:r w:rsidR="00000000" w:rsidRPr="00000000" w:rsidDel="00000000">
              <w:rPr>
                <w:u w:val="single"/>
                <w:rtl w:val="0"/>
              </w:rPr>
              <w:t xml:space="preserve">būtu pilnīgi skaidrs un saprotams privātpersonām</w:t>
            </w:r>
            <w:r w:rsidR="00000000" w:rsidRPr="00000000" w:rsidDel="00000000">
              <w:rPr>
                <w:rtl w:val="0"/>
              </w:rPr>
              <w:t xml:space="preserve">, un ka </w:t>
            </w:r>
            <w:r w:rsidR="00000000" w:rsidRPr="00000000" w:rsidDel="00000000">
              <w:rPr>
                <w:u w:val="single"/>
                <w:rtl w:val="0"/>
              </w:rPr>
              <w:t xml:space="preserve">prasības privātpersonām pēc būtības nemainās</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arī aicinām projekta anotāciju papildināt ar informāciju par to, kādas konsultācijas ir notikušas ar privātpersonām, kuras skar projekts, vai to pārstāvošajām organizācijām, un vai tās ir </w:t>
            </w:r>
            <w:r w:rsidR="00000000" w:rsidRPr="00000000" w:rsidDel="00000000">
              <w:rPr>
                <w:u w:val="single"/>
                <w:rtl w:val="0"/>
              </w:rPr>
              <w:t xml:space="preserve">informētas par projektu</w:t>
            </w:r>
            <w:r w:rsidR="00000000" w:rsidRPr="00000000" w:rsidDel="00000000">
              <w:rPr>
                <w:rtl w:val="0"/>
              </w:rPr>
              <w:t xml:space="preserve"> (nevis tikai par Starptautiskās darba organizācijas Konvenciju un rekomendāciju ieviešanas ekspertu komitejas komentāriem) . Tāpat lūdzam anotācijā norādīt, ka </w:t>
            </w:r>
            <w:r w:rsidR="00000000" w:rsidRPr="00000000" w:rsidDel="00000000">
              <w:rPr>
                <w:u w:val="single"/>
                <w:rtl w:val="0"/>
              </w:rPr>
              <w:t xml:space="preserve">projekta ietekme</w:t>
            </w:r>
            <w:r w:rsidR="00000000" w:rsidRPr="00000000" w:rsidDel="00000000">
              <w:rPr>
                <w:rtl w:val="0"/>
              </w:rPr>
              <w:t xml:space="preserve"> (proti, kā izriet no anotācijas - "</w:t>
            </w:r>
            <w:r w:rsidR="00000000" w:rsidRPr="00000000" w:rsidDel="00000000">
              <w:rPr>
                <w:i w:val="1"/>
                <w:rtl w:val="0"/>
              </w:rPr>
              <w:t xml:space="preserve">projekts pēc būtības nerada šiem kuģiem jaunas prasības</w:t>
            </w:r>
            <w:r w:rsidR="00000000" w:rsidRPr="00000000" w:rsidDel="00000000">
              <w:rPr>
                <w:rtl w:val="0"/>
              </w:rPr>
              <w:t xml:space="preserve">") </w:t>
            </w:r>
            <w:r w:rsidR="00000000" w:rsidRPr="00000000" w:rsidDel="00000000">
              <w:rPr>
                <w:u w:val="single"/>
                <w:rtl w:val="0"/>
              </w:rPr>
              <w:t xml:space="preserve">tiks skaidrota attiecīgajām privātpersonām</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Visbeidzot, atkārtoti arī lūdzam turpmāk ņemt vērā, ka šāda pieeja starptautisko līgumu ieviešanā, t.i., pieeja, ka starptautisko līgumu normas, kurām ir ārēja normatīvā akta spēks un kuras iespējams piemērot tieši, tiek detalizēti pārrakstītas nacionālajā tiesiskajā regulējumā, nav atbalstāma un veicināma. Šāda pieeja nevajadzīgi palielina normatīvo aktu skaitu un apjomu, turklāt var radīt interpertācijas un piemērošanas sarežģījumus (piemēram, jautājumus, kāpēc vienā gadījumā Latvijas tiesību sistēmā ienesta līguma normas ir pārrakstītas nacionālajā regulējumā, bet citā gadījumā - nav).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Precizēta Anotācijas sadaļa 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8.2. nodrošina vieglu tīrīšanu un dezinfekciju, lai novērstu un ierobežotu slimību izplatīšanos.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- 20.12.2022.)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izvērstāk skaidrot projekta 4. un 6. punktā paredzēto regulējumu un tā nepieciešamību, kā arī izvērtēt nepieciešamību precizēt projektu. Piemēram, 4. punktā lietotais vārds "nodrošina", šķiet, nav sekmīgi izvēlēts, jo nav pilnībā skaidrs, kā kondicionēšanas sistēma var nodrošināt (nevis, piemēram, sekmēt) tīrīšanu un dezinfekciju.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izvērtēta nepieciešamība precizēt projektu. Ar projekta 4. un 6. punktā paredzēto tiek precizēts esošais MK 18 8.2.apakšpunktā un 50.punktā noteiktais regulējums. Projekta 4.punkta redakcijā lietotā izteiksme ir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22-TA-3331</w:t>
    </w:r>
    <w:r>
      <w:br/>
    </w:r>
    <w:r w:rsidR="00000000" w:rsidRPr="00000000" w:rsidDel="00000000">
      <w:rPr>
        <w:rtl w:val="0"/>
      </w:rPr>
      <w:t xml:space="preserve">15.02.2023. 13.44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22-TA-3331</w:t>
    </w:r>
    <w:r>
      <w:br/>
    </w:r>
    <w:r w:rsidR="00000000" w:rsidRPr="00000000" w:rsidDel="00000000">
      <w:rPr>
        <w:rtl w:val="0"/>
      </w:rPr>
      <w:t xml:space="preserve">15.02.2023. 13.44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Izziņa_22-TA-3331.docx</dc:title>
</cp:coreProperties>
</file>

<file path=docProps/custom.xml><?xml version="1.0" encoding="utf-8"?>
<Properties xmlns="http://schemas.openxmlformats.org/officeDocument/2006/custom-properties" xmlns:vt="http://schemas.openxmlformats.org/officeDocument/2006/docPropsVTypes"/>
</file>