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(23.08.2023.)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21.10.2025. 15:13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Veselības inspekcijai būs nepieciesamas 2 amata vietas, bet attiecībā uz finansējumu ir norādīts, ka tas tiks nodoršināts esošo finanšu līdzekļu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vai tādejādi tiks palielināts kopējais amata vietu skaits Veselības inspekcijā, attiecīgi par 2 amata vietām un ja jā tad no kuras iestādes tās tiks pārdalītas. Ja īstenojas šis scenārijs, lūdzam attiecīgi norādīt arī attiecīgo pārviedojamo amata vietu esošo amata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nepieciešamās 2 amata vietas Veselības insoekcijā veidojas savādāk lūdzam aprakstīt to viedošanās scenāriju, vienlaikus sniedzot informāciju par esošu un par plānojamo amatu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norādīt, ja tas ir saistoši, vai norādītās 2 amata vietas Veselības inspekcijai nav saistāmas ar tiesību akta projektā 24-TA-2503 norādītajām 2 amata vietām Veselības inspekcijai. Ja tas ir saistīts un abu tiesību aktu īstnoešanai kopumā ir nepieciesamas 2 amata vietas (bet ne 2 amata vietas katram tiesīb uaktu projektam), tad attiecīg šeit sniegt norādi uz tiesību akta projektu 24-TA -2503.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ar skaidrojumu par 2 amata vietu izveidi Veselības inspekcijā.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25.09.2025. 17:10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norādītos izdevumus atlīdzībai, vienlaikus lūdzam vērtēt vai nav iespējams atteikties no kādām šobrīd veicamajām funkcijām un uzdevumiem, vai arī tos attiecīgi veikt samazinātā apmērā. Papildus norādāms, ka neskatoties uz MK 25.02.2025. MK sēdes protokola Nr. 8 #49 12.punktā noteikto lūdzam primāri izmantot amata vietas no iestādes vai resora. Vēršam uzmanību, ka uz 31.07.2025. Veselības inspekcijā vakantas ir 12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Informatīvā ziņojuma "Par Mākslīgā intelekta akta prasību ieviešanu" (24-TA-2633) papildu nepieciešamais finansējums VI amata vietai 2026.gadā - 52 092 euro, 2027.g. - 54 049 euro, bet 2028.g. un turpmāk 55 811 euro, kas ir ievērojami mazāks nekā šī tiesību akta Anotācijas 3.sadaļā norādītais. Papildus vēršam uzmanību, ka detalizētais finansējuma aprēķins 24-TA-2633 tika sagatavots 2024.gadā, 2026.gada un turpmākajiem gadiem aprēķinā izmantojot 2026.g un turpmākajiem gadiem </w:t>
            </w:r>
            <w:r w:rsidR="00000000" w:rsidRPr="00000000" w:rsidDel="00000000">
              <w:rPr>
                <w:u w:val="single"/>
                <w:rtl w:val="0"/>
              </w:rPr>
              <w:t xml:space="preserve">prognozēto</w:t>
            </w:r>
            <w:r w:rsidR="00000000" w:rsidRPr="00000000" w:rsidDel="00000000">
              <w:rPr>
                <w:rtl w:val="0"/>
              </w:rPr>
              <w:t xml:space="preserve"> algu skalu. Ministru kabinets 26.08.2025. nolēma, ka 2026.gadā tiek izmantota 2025.gada bāzes mēnešalga, kas secīgi nozīmē, ka algu skala 2026.gadā paliek 2025.gada apmērā. Ņemot vērā minēto nav pamatojuma tik lielam izdevumu apmēram atlīdzībai.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norādītos aprēķinus, kā arī papildus vērtēt iespēju amata vietu veidot izmantojot jau esošās vakantās mata vietas iestādē vai resorā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nepieciešamās divas amata vietas veidot, izmantojot jau esošās vakantās mata vietas iestādē/resorā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un Ministru kabineta sēdes protokollēmuma projekta (turpmāk – MK sēdes protokollēmums) 3.punktam, Veselības ministrijai (Veselības inspekcijai) ir nepieciešams papildu finansējums 2026. gadam 55 772 </w:t>
            </w:r>
            <w:r w:rsidR="00000000" w:rsidRPr="00000000" w:rsidDel="00000000">
              <w:rPr>
                <w:i w:val="1"/>
                <w:rtl w:val="0"/>
              </w:rPr>
              <w:t xml:space="preserve">euro </w:t>
            </w:r>
            <w:r w:rsidR="00000000" w:rsidRPr="00000000" w:rsidDel="00000000">
              <w:rPr>
                <w:rtl w:val="0"/>
              </w:rPr>
              <w:t xml:space="preserve">apmērā, 2027. gadam 57 429 </w:t>
            </w:r>
            <w:r w:rsidR="00000000" w:rsidRPr="00000000" w:rsidDel="00000000">
              <w:rPr>
                <w:i w:val="1"/>
                <w:rtl w:val="0"/>
              </w:rPr>
              <w:t xml:space="preserve">euro </w:t>
            </w:r>
            <w:r w:rsidR="00000000" w:rsidRPr="00000000" w:rsidDel="00000000">
              <w:rPr>
                <w:rtl w:val="0"/>
              </w:rPr>
              <w:t xml:space="preserve">apmērā un 2028. gadam un turpmāk ik gadu 58 731 </w:t>
            </w:r>
            <w:r w:rsidR="00000000" w:rsidRPr="00000000" w:rsidDel="00000000">
              <w:rPr>
                <w:i w:val="1"/>
                <w:rtl w:val="0"/>
              </w:rPr>
              <w:t xml:space="preserve">euro</w:t>
            </w:r>
            <w:r w:rsidR="00000000" w:rsidRPr="00000000" w:rsidDel="00000000">
              <w:rPr>
                <w:rtl w:val="0"/>
              </w:rPr>
              <w:t xml:space="preserve"> apmērā Regulas Nr.2024/1689 normas par tirgus uzraudzību iestādēm ieviešanai vidēja termiņa budžeta 2026., 2027. un 2028. gadam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balstoties uz šī brīža prognozēm, iespējas piešķirt papildu finanšu resursus turpmākajos gados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š.g. 22. septembrī tika izskatīts informatīvais ziņojums “Par valsts budžeta likumprojektā iekļaujamiem prioritārajiem pasākumiem 2026., 2027. un 2028. gadam” un tajā nav paredzēts likumprojektā “Par valsts budžetu 2026. gadam un budžeta ietvaru 2026., 2027. un 2028. gadam” iekļaujamais papildu finansējums Veselības ministrijai (Veselības inspekcijai) Regulas Nr.2024/1689 normas par tirgus uzraudzību iestādēm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jāņem vērā, ka noteikumu projektā ietvertie pasākumi īstenojami tai piešķirto valsts budžeta līdzekļu ietvaros. Tādējādi precizējams MK sēdes protokollēmuma 3. 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Veselības ministrijai (Veselības inspekcijai) ir nepieciešams papildu finansējums 2026. gadam - 55 772 </w:t>
            </w:r>
            <w:r w:rsidR="00000000" w:rsidRPr="00000000" w:rsidDel="00000000">
              <w:rPr>
                <w:i w:val="1"/>
                <w:rtl w:val="0"/>
              </w:rPr>
              <w:t xml:space="preserve">euro</w:t>
            </w:r>
            <w:r w:rsidR="00000000" w:rsidRPr="00000000" w:rsidDel="00000000">
              <w:rPr>
                <w:rtl w:val="0"/>
              </w:rPr>
              <w:t xml:space="preserve"> apmērā, 2027. gadam - 57 429</w:t>
            </w:r>
            <w:r w:rsidR="00000000" w:rsidRPr="00000000" w:rsidDel="00000000">
              <w:rPr>
                <w:i w:val="1"/>
                <w:rtl w:val="0"/>
              </w:rPr>
              <w:t xml:space="preserve"> euro </w:t>
            </w:r>
            <w:r w:rsidR="00000000" w:rsidRPr="00000000" w:rsidDel="00000000">
              <w:rPr>
                <w:rtl w:val="0"/>
              </w:rPr>
              <w:t xml:space="preserve">apmērā un 2028. gadam un turpmāk ik gadu - 58 731 </w:t>
            </w:r>
            <w:r w:rsidR="00000000" w:rsidRPr="00000000" w:rsidDel="00000000">
              <w:rPr>
                <w:i w:val="1"/>
                <w:rtl w:val="0"/>
              </w:rPr>
              <w:t xml:space="preserve">euro</w:t>
            </w:r>
            <w:r w:rsidR="00000000" w:rsidRPr="00000000" w:rsidDel="00000000">
              <w:rPr>
                <w:rtl w:val="0"/>
              </w:rPr>
              <w:t xml:space="preserve"> apmērā Regulas Nr.2024/1689 normas par tirgus uzraudzību iestādēm ieviešanai vidēja termiņa budžeta 2026., 2027. un 2028. gadam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atbilstoši iebildumam pie Anotācijas 3.sadaļas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Regulas Nr.2024/1689 normas par tirgus uzraudzību iestādēm ieviešanai pilnā apmērā Veselības inspekcijai nepieciešama amata vieta, kuras nodrošināšanai nepieciešams papildu finansējums 2026. gadam 55 772 </w:t>
            </w:r>
            <w:r w:rsidR="00000000" w:rsidRPr="00000000" w:rsidDel="00000000">
              <w:rPr>
                <w:i w:val="1"/>
                <w:rtl w:val="0"/>
              </w:rPr>
              <w:t xml:space="preserve">euro </w:t>
            </w:r>
            <w:r w:rsidR="00000000" w:rsidRPr="00000000" w:rsidDel="00000000">
              <w:rPr>
                <w:rtl w:val="0"/>
              </w:rPr>
              <w:t xml:space="preserve">apmērā, 2027. gadam 57 429 </w:t>
            </w:r>
            <w:r w:rsidR="00000000" w:rsidRPr="00000000" w:rsidDel="00000000">
              <w:rPr>
                <w:i w:val="1"/>
                <w:rtl w:val="0"/>
              </w:rPr>
              <w:t xml:space="preserve">euro </w:t>
            </w:r>
            <w:r w:rsidR="00000000" w:rsidRPr="00000000" w:rsidDel="00000000">
              <w:rPr>
                <w:rtl w:val="0"/>
              </w:rPr>
              <w:t xml:space="preserve">apmērā un 2028. gadam un turpmāk ik gadu 58 731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sekretāru 2023. gada 30. marta sanāksmes protokola Nr.12 4. §. 1.punktam, tiesību aktu projekti, kuru turpmākai ieviešanai būs nepieciešama papildu pastāvīgu amata vietu izveide vai arī tie paredz ar nodarbināto atlīdzību saistītus jautājumus, ir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paredzētās papildu pastāvīgās amata vietas izveidi ir būtisks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ka saņemts Valsts kancelejas 30092025 sniegtais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17.06.2025. 17:26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norādīta nepieciešamība precizēt, ka Ministru kabineta 2023. gada 15. augusta noteikumi Nr. 455 "Cilvēkiem paredzēto medicīnisko ierīču klīnisko pētījumu un in vitro diagnostikas medicīnisko ierīču veiktspējas pētījumu veikšanas kārtība" (turpmāk - noteikumi) attiecas arī uz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kurās ir integrēta mākslīgā intelekta sistēma. Savukārt anotācijas 1.6. sadaļā norādīts, ka </w:t>
            </w:r>
            <w:r w:rsidR="00000000" w:rsidRPr="00000000" w:rsidDel="00000000">
              <w:rPr>
                <w:b w:val="1"/>
                <w:rtl w:val="0"/>
              </w:rPr>
              <w:t xml:space="preserve">augsta riska </w:t>
            </w:r>
            <w:r w:rsidR="00000000" w:rsidRPr="00000000" w:rsidDel="00000000">
              <w:rPr>
                <w:rtl w:val="0"/>
              </w:rPr>
              <w:t xml:space="preserve">medicīnisko ierīču un </w:t>
            </w:r>
            <w:r w:rsidR="00000000" w:rsidRPr="00000000" w:rsidDel="00000000">
              <w:rPr>
                <w:i w:val="1"/>
                <w:rtl w:val="0"/>
              </w:rPr>
              <w:t xml:space="preserve">in vitro</w:t>
            </w:r>
            <w:r w:rsidR="00000000" w:rsidRPr="00000000" w:rsidDel="00000000">
              <w:rPr>
                <w:rtl w:val="0"/>
              </w:rPr>
              <w:t xml:space="preserve"> diagnostikas medicīnisko ierīču, kurās iekļautas mākslīgā intelekta sistēmas, veiktspēja ir jāpamato ar attiecīgajiem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skaidrot, vai noteikumu grozījumu projekts attiecas uz </w:t>
            </w:r>
            <w:r w:rsidR="00000000" w:rsidRPr="00000000" w:rsidDel="00000000">
              <w:rPr>
                <w:b w:val="1"/>
                <w:rtl w:val="0"/>
              </w:rPr>
              <w:t xml:space="preserve">visām</w:t>
            </w:r>
            <w:r w:rsidR="00000000" w:rsidRPr="00000000" w:rsidDel="00000000">
              <w:rPr>
                <w:rtl w:val="0"/>
              </w:rPr>
              <w:t xml:space="preserve">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ar mākslīgā intelekta sistēmu, vai tikai uz tām, kurās izmantota </w:t>
            </w:r>
            <w:r w:rsidR="00000000" w:rsidRPr="00000000" w:rsidDel="00000000">
              <w:rPr>
                <w:b w:val="1"/>
                <w:rtl w:val="0"/>
              </w:rPr>
              <w:t xml:space="preserve">augsta riska mākslīgā intelekta sistēma </w:t>
            </w:r>
            <w:r w:rsidR="00000000" w:rsidRPr="00000000" w:rsidDel="00000000">
              <w:rPr>
                <w:rtl w:val="0"/>
              </w:rPr>
              <w:t xml:space="preserve">(skat. </w:t>
            </w:r>
            <w:r w:rsidR="00000000" w:rsidRPr="00000000" w:rsidDel="00000000">
              <w:rPr>
                <w:i w:val="1"/>
                <w:rtl w:val="0"/>
              </w:rPr>
              <w:t xml:space="preserve">Eiropas Parlamenta un Padomes 2024. gada 13. jūnija Regulas Nr.2024/1689, ar ko nosaka saskaņotas normas mākslīgā intelekta jomā (un groza Regulas (EK) Nr.300/2008, (ES) Nr.167/2013, (ES) Nr.168/2013, (ES) 2018/858, (ES) 2018/1139 un (ES) 2019/2144 un Direktīvas 2014/90/ES, (ES) 2016/797 un (ES) 2020/1828</w:t>
            </w:r>
            <w:r w:rsidR="00000000" w:rsidRPr="00000000" w:rsidDel="00000000">
              <w:rPr>
                <w:rtl w:val="0"/>
              </w:rPr>
              <w:t xml:space="preserve"> (turpmāk - MI akts) </w:t>
            </w:r>
            <w:r w:rsidR="00000000" w:rsidRPr="00000000" w:rsidDel="00000000">
              <w:rPr>
                <w:b w:val="1"/>
                <w:rtl w:val="0"/>
              </w:rPr>
              <w:t xml:space="preserve">50. apsvērumu </w:t>
            </w:r>
            <w:r w:rsidR="00000000" w:rsidRPr="00000000" w:rsidDel="00000000">
              <w:rPr>
                <w:rtl w:val="0"/>
              </w:rPr>
              <w:t xml:space="preserve">un</w:t>
            </w:r>
            <w:r w:rsidR="00000000" w:rsidRPr="00000000" w:rsidDel="00000000">
              <w:rPr>
                <w:b w:val="1"/>
                <w:rtl w:val="0"/>
              </w:rPr>
              <w:t xml:space="preserve"> 51. apsvērumu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terminoloģiju noteikumu projekta 2. punktā (noteikumu 1.</w:t>
            </w:r>
            <w:r w:rsidR="00000000" w:rsidRPr="00000000" w:rsidDel="00000000">
              <w:rPr>
                <w:vertAlign w:val="superscript"/>
                <w:rtl w:val="0"/>
              </w:rPr>
              <w:t xml:space="preserve">1</w:t>
            </w:r>
            <w:r w:rsidR="00000000" w:rsidRPr="00000000" w:rsidDel="00000000">
              <w:rPr>
                <w:rtl w:val="0"/>
              </w:rPr>
              <w:t xml:space="preserve"> punktā), kā arī saskaņot anotācijas atbilstošās sadaļas ar precizēto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attiektos uz visām medicīniskajām ierīcēm un </w:t>
            </w:r>
            <w:r w:rsidR="00000000" w:rsidRPr="00000000" w:rsidDel="00000000">
              <w:rPr>
                <w:i w:val="1"/>
                <w:rtl w:val="0"/>
              </w:rPr>
              <w:t xml:space="preserve">in vitro </w:t>
            </w:r>
            <w:r w:rsidR="00000000" w:rsidRPr="00000000" w:rsidDel="00000000">
              <w:rPr>
                <w:rtl w:val="0"/>
              </w:rPr>
              <w:t xml:space="preserve">diagnostikas medicīniskajām ierīcēm ar mākslīgā intelekta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13. jūnija Regulas Nr.2024/1689, ar ko nosaka saskaņotas normas mākslīgā intelekta jomā (un groza Regulas (EK) Nr.300/2008, (ES) Nr.167/2013, (ES) Nr.168/2013, (ES) 2018/858, (ES) 2018/1139 un (ES) 2019/2144 un Direktīvas 2014/90/ES, (ES) 2016/797 un (ES) 2020/1828  sākuma (50) apsvērumā minētajam, jebkuras medicīniskas ierīces vai </w:t>
            </w:r>
            <w:r w:rsidR="00000000" w:rsidRPr="00000000" w:rsidDel="00000000">
              <w:rPr>
                <w:i w:val="1"/>
                <w:rtl w:val="0"/>
              </w:rPr>
              <w:t xml:space="preserve">in vitro</w:t>
            </w:r>
            <w:r w:rsidR="00000000" w:rsidRPr="00000000" w:rsidDel="00000000">
              <w:rPr>
                <w:rtl w:val="0"/>
              </w:rPr>
              <w:t xml:space="preserve"> ierīces drošībā integrēta mākslīgā intelekta (MI) sistēma kļūst par augsta riska MI sistēmu. Bet atbilstoši Regulas 2024/1689 (51) apsvērumam tas obligāti nenozīmē, ka šādu medicīnisko ierīci klasificē, kā augsta riska (saskaņā ar Regulu 2017/745 un 2017/746 klasificēšanas kritērijiem). Anotācijā  minētais, ka Augsta riska medicīnisko ierīču un</w:t>
            </w:r>
            <w:r w:rsidR="00000000" w:rsidRPr="00000000" w:rsidDel="00000000">
              <w:rPr>
                <w:i w:val="1"/>
                <w:rtl w:val="0"/>
              </w:rPr>
              <w:t xml:space="preserve"> in vitro</w:t>
            </w:r>
            <w:r w:rsidR="00000000" w:rsidRPr="00000000" w:rsidDel="00000000">
              <w:rPr>
                <w:rtl w:val="0"/>
              </w:rPr>
              <w:t xml:space="preserve"> diagnostikas medicīnisko ierīču, kuras ir aprīkotas ar MI sistēmu, veiktspēja ir jāpamato ar klīniskiem pierādījumiem lai uzskatāmi pierādītu konkrēto ierīču drošumu, veiktspēju un attiecīgā gadījumā klīnisko ieguvumu atbilst Regulās 2017/745 un 2017/746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2027.gada 2.augustā.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(noteikumu 50. punktā) norādīts, ka noteikumu 1.</w:t>
            </w:r>
            <w:r w:rsidR="00000000" w:rsidRPr="00000000" w:rsidDel="00000000">
              <w:rPr>
                <w:vertAlign w:val="superscript"/>
                <w:rtl w:val="0"/>
              </w:rPr>
              <w:t xml:space="preserve">1</w:t>
            </w:r>
            <w:r w:rsidR="00000000" w:rsidRPr="00000000" w:rsidDel="00000000">
              <w:rPr>
                <w:rtl w:val="0"/>
              </w:rPr>
              <w:t xml:space="preserve"> punkts stājas spēkā 2027. gada 2. augustā. Lai gan MI akta noteiktās prasības saskaņā ar tā 113. panta trešās daļas c) punktu stājas spēkā norādītajā datumā, aicinām precizēt un skaidrot, vai </w:t>
            </w:r>
            <w:r w:rsidR="00000000" w:rsidRPr="00000000" w:rsidDel="00000000">
              <w:rPr>
                <w:i w:val="1"/>
                <w:rtl w:val="0"/>
              </w:rPr>
              <w:t xml:space="preserve">Eiropas Parlamenta un Padomes 2017. gada 5. aprīļa Regulas (ES) 2017/746 par in vitro diagnostikas medicīniskām ierīcēm un ar ko atceļ Direktīvu 98/79/EK un Komisijas Lēmumu 2010/227/ES</w:t>
            </w:r>
            <w:r w:rsidR="00000000" w:rsidRPr="00000000" w:rsidDel="00000000">
              <w:rPr>
                <w:rtl w:val="0"/>
              </w:rPr>
              <w:t xml:space="preserve"> un </w:t>
            </w:r>
            <w:r w:rsidR="00000000" w:rsidRPr="00000000" w:rsidDel="00000000">
              <w:rPr>
                <w:i w:val="1"/>
                <w:rtl w:val="0"/>
              </w:rPr>
              <w:t xml:space="preserve">Eiropas Parlamenta un Padomes 2017. gada 5. aprīļa Regulas (ES) 2017/745, kas attiecas uz medicīniskām ierīcēm, ar ko groza Direktīvu 2001/83/EK, Regulu (EK) Nr. 178/2002 un Regulu (EK) Nr. 1223/2009 un atceļ Padomes Direktīvas 90/385/EK un 93/42/EEK</w:t>
            </w:r>
            <w:r w:rsidR="00000000" w:rsidRPr="00000000" w:rsidDel="00000000">
              <w:rPr>
                <w:rtl w:val="0"/>
              </w:rPr>
              <w:t xml:space="preserve"> prasības jau šobrīd nenosaka nepieciešamību novērtēt ierīču veiktspēju arī tad, ja tās satur mākslīgā intelekta komponentes. Attiecīgi aicinām izvērtēt nepieciešamību precizēt noteikumu projekta 4. punkta (noteikumu 50. punkta) norādi uz noteikumu projekta 2. punktu (noteikumu 1.</w:t>
            </w:r>
            <w:r w:rsidR="00000000" w:rsidRPr="00000000" w:rsidDel="00000000">
              <w:rPr>
                <w:vertAlign w:val="superscript"/>
                <w:rtl w:val="0"/>
              </w:rPr>
              <w:t xml:space="preserve">1</w:t>
            </w:r>
            <w:r w:rsidR="00000000" w:rsidRPr="00000000" w:rsidDel="00000000">
              <w:rPr>
                <w:rtl w:val="0"/>
              </w:rPr>
              <w:t xml:space="preserve"> punktu). Lūdzam attiecīgi papildināt arī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paredzot, ka šo noteikumu 2.</w:t>
            </w:r>
            <w:r w:rsidR="00000000" w:rsidRPr="00000000" w:rsidDel="00000000">
              <w:rPr>
                <w:vertAlign w:val="superscript"/>
                <w:rtl w:val="0"/>
              </w:rPr>
              <w:t xml:space="preserve">1</w:t>
            </w:r>
            <w:r w:rsidR="00000000" w:rsidRPr="00000000" w:rsidDel="00000000">
              <w:rPr>
                <w:rtl w:val="0"/>
              </w:rPr>
              <w:t xml:space="preserve"> punkts stājas spēkā 2027.gada 2.augustā.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455 nenosaka kādos gadījumos KP tiek veikti, (2017/745 un 2017/746 tas strikti ir noteikts, MDR 745/2017 un IVDR 746/2017 regulas attiecas arī uz mākslīgā intelekta sistēmām, ja tās atbilst medicīnas ierīces vai in vitro diagnostikas definīcijai. Tām jāievēro visas attiecīgās prasības, tostarp drošība, efektivitāte, riska pārvaldība un atbilstības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5.4.sadaļa ar atsauci uz Eiropas Parlamenta un Padomes 2024.gada 13.jūnija Regulas (ES) 2024/1689, ar ko nosaka saskaņotas normas mākslīgā intelekta jomā un groza Regulas (EK) Nr. 300/2008, (ES) Nr. 167/2013, (ES) Nr. 168/2013, (ES) 2018/858, (ES) 2018/1139 un (ES) 2019/2144 un Direktīvas 2014/90/ES, (ES) 2016/797 un (ES) 2020/1828 (Mākslīgā intelekta akts) 11.panta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2017. gada 5. aprīļa Regula (ES) 2017/745, kas attiecas uz medicīniskām ierīcēm, ar ko groza Direktīvu 2001/83/EK, Regulu (EK) Nr. 178/2002 un Regulu (EK) Nr. 1223/2009 un atceļ Padomes Direktīvas 90/385/EK un 93/42/EEK.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3.sadaļas "Tiesību akta projekta ietekme uz valsts budžetu un pašvaldību budžetiem" punktā "Vai projekts skar šo jomu?" norādīts, ka projektam nav ietekmes uz valsts budžetu un pašvaldību budžetiem. Vienlaikus punktā "Cita informācija" norādīts, ka projektam nav </w:t>
            </w:r>
            <w:r w:rsidR="00000000" w:rsidRPr="00000000" w:rsidDel="00000000">
              <w:rPr>
                <w:u w:val="single"/>
                <w:rtl w:val="0"/>
              </w:rPr>
              <w:t xml:space="preserve">tiešas</w:t>
            </w:r>
            <w:r w:rsidR="00000000" w:rsidRPr="00000000" w:rsidDel="00000000">
              <w:rPr>
                <w:rtl w:val="0"/>
              </w:rPr>
              <w:t xml:space="preserve"> ietekmes uz valsts budžetu. Līdz ar to lūdzam svītrot vārdu "tiešas", nosakot, ka projektam nav ietekmes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25-TA-1324</w:t>
    </w:r>
    <w:r>
      <w:br/>
    </w:r>
    <w:r w:rsidR="00000000" w:rsidRPr="00000000" w:rsidDel="00000000">
      <w:rPr>
        <w:rtl w:val="0"/>
      </w:rPr>
      <w:t xml:space="preserve">19.12.2025. 15.52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25-TA-1324</w:t>
    </w:r>
    <w:r>
      <w:br/>
    </w:r>
    <w:r w:rsidR="00000000" w:rsidRPr="00000000" w:rsidDel="00000000">
      <w:rPr>
        <w:rtl w:val="0"/>
      </w:rPr>
      <w:t xml:space="preserve">19.12.2025. 15.52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Izziņa_25-TA-1324.docx</dc:title>
</cp:coreProperties>
</file>

<file path=docProps/custom.xml><?xml version="1.0" encoding="utf-8"?>
<Properties xmlns="http://schemas.openxmlformats.org/officeDocument/2006/custom-properties" xmlns:vt="http://schemas.openxmlformats.org/officeDocument/2006/docPropsVTypes"/>
</file>