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24. maija noteikumos Nr. 310 "Noteikumi par Latvijas Republikas valsts robežas joslu, patrulēšanas joslu, pierobežas joslu un pierobežu, kā arī pierobežas, pierobežas joslas, valsts robežas joslas un patrulēšanas joslas norāžu paraugiem un to uzstādīšanas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(14.04.2023.)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atkārtoti pārskatīt anotācijas 1.3.sadaļā 3.punktā "Īpašumtiesību piederība uz attiecīgo teritoriju, tās stāvoklis" norādīto informāciju par nekustamo īpašumu piederību vai piekritību un precizēt atbilstoši aktuālajiem zemesgrāmatas un Nekustamā īpašuma valsts kadastra informācijas sistēmas (turpmāk -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anotācijā attiecībā par posmu no 164 līdz 165 robežzīmei tiek norādīts, ka nekustamie īpašumi pieder 3 fiziskām personām un piekritīgi valstij. Atbilstoši noteikumu projekta 1.pielikumā "Patrulēšanas joslas izvietojums gar ārējo robežu" norādītajai informācijai šajā posmā atrodas arī zemes vienība ar kadastra apzīmējumu 6084 004 0309, kas ir nevis valstij piekritīgā zemes vienība, bet gan valstij piederoša - zemes vienība ietilpst nekustamā īpašuma (kad.Nr.6084 004 0349) sastāvā un ierakstīta zemesgrāmatā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norādīts ka, piemēram, posmā no 170 līdz 171 robežzīmei gar Daugavas upes krastu nekustamie īpašumi pieder juridiskai personai un pašvaldībai, kā arī piekritīgi valstij. Atbilstoši noteikumu projekta 1.pielikuma 32., 33., 34.punktam posmā 170-171 atrodas trīs zemes vienības ar kadastra apzīmējumiem 6084 004 0408, 6084 004 0409, 6084 004 0341. Vēršam uzmanību ka atbilstoši NĪVKIS datiem neviena no minētajām zemes vienībām nav valstij piekritīgā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robežapsardzības sistēmas pastāvēšanai nepieciešamos apstākļus ar grozījumiem noteikumos tiek paredzēts papildināt noteikumu 1.pielikumu ar vairākām zemes vienībām, nosakot patrulēšanas joslu gar ārējo robežu.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pārbaudot Nekustamā īpašuma valsts kadastra informācijas sistēmā datus par 1.pielikumā pie attiecīgās robežzīmes norādīto zemes vienību piederības statusu, netika konstatēts, ka kāda no zemes vienībām piederētu  VAS "Valsts nekustamie īpašumi" vai arī nodota tās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līdzam precizēt anotācijā norādīto informāciju par īpašumtiesību piederību uz attiecīgo teritoriju, norādot zemes vienību piederību atbilstoši informācijai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patrulēšanas joslu izvietojuma noteikšanu un no anotācijas 1. sadaļā norādītā ir saprotams, ka būs nepieciešama papildus patrulēšanas joslu izbūve gar ārējo valsts robežu, savukārt anotācijas 3.sadaļā norādīts, šim mērķim finansējumu plānots pieprasīt no valsts budžeta resora “74. Gadskārtējā valsts budžeta izpildes procesā pārdalāmais finansējums” programmas 18.00.00 “Finansējums valsts drošības stiprināšanas pasākumiem”. Vēršam uzmanību, ka ar valsts robežas joslas izbūvi saistīto izdevumu segšanai no minētās programmas faktiski pārdalītais finansējums ievērojami pārsniedz šim mērķim plānoto finansējumu, līdz ar to anotācijas 3. sadaļā sniegtā informācija ir precizējama, norādot, ka noteikumu projektā paredzēto normu izpilde tiks nodrošināta Iekšlietu ministrijai piešķirto valsts budžeta līdzekļu ietvaros. Ja noteikumu projektā paredzēto normu īstenošanai ir nepieciešams papildu valsts budžeta finansējums, tad noteikumu projekta tālākā virzība ir atliekama līdz brīdim, kad tiks atrisināts jautājums par šim mērķim nepieciešamā finansējuma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6.1.sadaļā "Projekta izstrādē iesaistītās institūcijas" norādīta arī VAS "Valsts nekustamie īpašumi' (turpmāk - VNĪ). Lūdzam skaidrot, kā VNĪ ir saistīta ar šā projekta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6.1.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7.1.sadaļā "Projekta izpildē iesaistītās institūcijas" norādīta arī VNĪ. Lūdzam skaidrot, kā VNĪ ir saistīta ar šā projekta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7.1.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24. maija noteikumos Nr. 310 "Noteikumi par Latvijas Republikas valsts robežas joslu, patrulēšanas joslu, pierobežas joslu un pierobežu, kā arī pierobežas, pierobežas joslas, valsts robežas joslas un patrulēšanas joslas norāžu paraugiem un to uzstādīšanas kārtību" (Latvijas Vēstnesis, 2022, 101. nr.; 2023, 72.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pielikumus, jo projekta pielikumos nav norādes par to, kādā koordinātu sistēmā izteiktas patrulēšanas joslu robežpunktu koordinātas, nav norādes par to, cik plata ir paredzēta patrulēšanas josla (koordinātas ir tikai ārējai malai), un projekta 1.</w:t>
            </w:r>
            <w:r w:rsidR="00000000" w:rsidRPr="00000000" w:rsidDel="00000000">
              <w:rPr>
                <w:vertAlign w:val="superscript"/>
                <w:rtl w:val="0"/>
              </w:rPr>
              <w:t xml:space="preserve">1</w:t>
            </w:r>
            <w:r w:rsidR="00000000" w:rsidRPr="00000000" w:rsidDel="00000000">
              <w:rPr>
                <w:rtl w:val="0"/>
              </w:rPr>
              <w:t xml:space="preserve"> pielikuma shēmās nav attēlotas apgriešanās vietas (paplatinājumi), kas paredzētas ik pēc 500 metriem.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(1.3. apakšsadaļas ,,Pašreizējā situācija, problēmas un risinājumi'' nodaļas ,,Risinājuma apraksts'' 2. rindkopa no augšas) un Projekta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strukturētāk un skaidrāk atainot pamattiesību ierobežojuma konstitucionalitātes testu, ņemot vērā to, ka šis rīkojuma projekts, visticamāk, kalpos arī kā Sabiedrības vajadzībām nepieciešamā nekustamā īpašuma atsavināšanas likuma 8. panta pirmajā daļā minētais konceptuālais lēmums - pamats uzsākt nekustamo īpašuma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pamattiesību ierobežojuma konstitucionalitāti, Satversmes tiesa pārbauda: 1) vai pamattiesību ierobežojums noteikts ar likumu; 2) vai ierobežojumam ir leģitīms mērķis; 3) vai ierobežojums atbilst samērīguma principam. Pārbaudot atbilstību samērīguma principam, Satversmes tiesa noskaidro, vai 1) likumdevēja izraudzītie līdzekļi ir piemēroti leģitīmā mērķa sasniegšanai; 2) vai nav saudzējošāku līdzekļu leģitīmā mērķa sasniegšanai; 3) vai likumdevēja rīcība ir atbilstoša jeb vai zaudējums, kas personai rodas tās pamattiesību ierobežojuma rezultātā, nav lielāks par labumu, ko no šā ierobežojuma gūst sabiedrība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24-TA-327</w:t>
    </w:r>
    <w:r>
      <w:br/>
    </w:r>
    <w:r w:rsidR="00000000" w:rsidRPr="00000000" w:rsidDel="00000000">
      <w:rPr>
        <w:rtl w:val="0"/>
      </w:rPr>
      <w:t xml:space="preserve">28.08.2024. 15.58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24-TA-327</w:t>
    </w:r>
    <w:r>
      <w:br/>
    </w:r>
    <w:r w:rsidR="00000000" w:rsidRPr="00000000" w:rsidDel="00000000">
      <w:rPr>
        <w:rtl w:val="0"/>
      </w:rPr>
      <w:t xml:space="preserve">28.08.2024. 15.58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Izziņa_24-TA-327.docx</dc:title>
</cp:coreProperties>
</file>

<file path=docProps/custom.xml><?xml version="1.0" encoding="utf-8"?>
<Properties xmlns="http://schemas.openxmlformats.org/officeDocument/2006/custom-properties" xmlns:vt="http://schemas.openxmlformats.org/officeDocument/2006/docPropsVTypes"/>
</file>