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24-TA-669: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Maksājumu pakalpojumu un elektroniskās naudas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Licencēta elektroniskās naudas iestāde, pirms tam saņemot atļauju Eiropas Parlamenta un Padomes 2023. gada 31. maija regulas (ES) 2023/1114 par kriptoaktīvu tirgiem un ar ko groza regulas (ES) Nr. 1093/2010 un (ES) Nr. 1095/2010 un direktīvas 2013/36/ES un (ES) 2019/1937 (turpmāk – Regula Nr. 2023/1114) noteiktajā kārtībā, ir tiesīga:</w:t>
            </w:r>
            <w:r w:rsidR="00000000" w:rsidRPr="00000000" w:rsidDel="00000000">
              <w:rPr>
                <w:rtl w:val="0"/>
              </w:rPr>
              <w:t xml:space="preserve">1) emitēt elektroniskās naudas žetonu Regulas Nr. 2023/1114 3. panta 1. punkta 7. apakšpunkta izpratnē;</w:t>
            </w:r>
            <w:r w:rsidR="00000000" w:rsidRPr="00000000" w:rsidDel="00000000">
              <w:rPr>
                <w:rtl w:val="0"/>
              </w:rPr>
              <w:t xml:space="preserve">2) nodrošināt tās emitētā elektroniskās naudas žetona glabāšanu un pārvaldīšanu klienta vārdā Regulas Nr. 2023/1114 3. panta 1. punkta 17. apakšpunkta izpratnē;</w:t>
            </w:r>
            <w:r w:rsidR="00000000" w:rsidRPr="00000000" w:rsidDel="00000000">
              <w:rPr>
                <w:rtl w:val="0"/>
              </w:rPr>
              <w:t xml:space="preserve">3) sniegt tās emitētā elektroniskās naudas žetona pārvešanas pakalpojumu klienta vārdā Regulas Nr. 2023/1114 3. panta 1. punkta 26. apakšpunkta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ietverts pilnīgs un pietiekams regulējums saistībā ar iesnieguma iesniegšanu atļaujas saņemšanai (piemēram, kam iesniedz iesniegumu un kas izsniedz atļauju u.tml.), un, ja nepieciešams, veikt precizējumus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 2023/1114 normas ir tieši piemērojamas, nav nepieciešams noregulēt atļaujas piešķiršanas kārtību elektroniskās naudas žetonu emisijai un kriptoaktīvu pakalpojumu sniegšanai nacionālajā regulējumā (Maksājumu pakalpojumu un elektroniskās naudas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elektroniskās naudas iestāde saņemtu atļauju elektroniskās naudas žetonu emisijai, to publiski piedāvājot un pielaižot tirdzniecībai, tā iesniedz paziņojumu dalībvalsts kompetentā iestādei atbilstoši Regulas Nr. 2023/1114 48. panta 6. punktā noteiktajai kārtībai. Savukārt elektroniskās naudas iestāde kas plāno sniegt kriptoaktīvu pakalpojumus, atbilstoši Regulas Nr. 2023/1114 60. panta 4. punktam iesniedz dalībvalsts kompetentajai iestādei paziņojumu, kurā ir iekļauta šā panta 7. punktā norādītais informācijas apjoms. Pēc tam secīgi dalībvalsts kompetentā iestāde, kas saņem šādu paziņojumu, pārbauda iesniegtos dokumentus atbilstoši Regulas Nr. 2023/1114 60. panta 8.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Latvijas Banka tiks nozīmēta kā kompetentā iestrāde Regulas Nr. 2023/1114 izpratnē, tā izveidos licencēšanas ceļvedi kriptoaktīvu pakalpojumu sniedzēju darbības atļaujas saņemšanai. Ceļvedis būs pieejams Latvijas Bankas tīmekļa vietnes sadaļā licencēšana:  https://www.bank.lv/darbibas-jomas/licencesana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Bankas tīmekļa vietnē ir pieejams skaidrojums par licences, reģistrācijas vai darbības atļaujas saņemšanai nepieciešamo dokumentu sagatavošanu (pieejams šeit: https://datnes.latvijasbanka.lv/tiesibu-akti/Skaidrojumi/skaidrojums_par_licences_darbibas_atlaujas_sanemsanai_nepieciesamo_dokumentu_sagatavosanu.pdf).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Licencēta elektroniskās naudas iestāde, pirms tam saņemot atļauju Eiropas Parlamenta un Padomes 2023. gada 31. maija regulas (ES) 2023/1114 par kriptoaktīvu tirgiem un ar ko groza regulas (ES) Nr. 1093/2010 un (ES) Nr. 1095/2010 un direktīvas 2013/36/ES un (ES) 2019/1937 (turpmāk – Regula Nr. 2023/1114) noteiktajā kārtībā, ir tiesīga:</w:t>
            </w:r>
            <w:r w:rsidR="00000000" w:rsidRPr="00000000" w:rsidDel="00000000">
              <w:rPr>
                <w:rtl w:val="0"/>
              </w:rPr>
              <w:t xml:space="preserve">1) emitēt elektroniskās naudas žetonu Regulas Nr. 2023/1114 3. panta 1. punkta 7. apakšpunkta izpratnē;</w:t>
            </w:r>
            <w:r w:rsidR="00000000" w:rsidRPr="00000000" w:rsidDel="00000000">
              <w:rPr>
                <w:rtl w:val="0"/>
              </w:rPr>
              <w:t xml:space="preserve">2) nodrošināt tās emitētā elektroniskās naudas žetona glabāšanu un pārvaldīšanu klienta vārdā Regulas Nr. 2023/1114 3. panta 1. punkta 17. apakšpunkta izpratnē;</w:t>
            </w:r>
            <w:r w:rsidR="00000000" w:rsidRPr="00000000" w:rsidDel="00000000">
              <w:rPr>
                <w:rtl w:val="0"/>
              </w:rPr>
              <w:t xml:space="preserve">3) sniegt tās emitētā elektroniskās naudas žetona pārvešanas pakalpojumu klienta vārdā Regulas Nr. 2023/1114 3. panta 1. punkta 26. apakšpunkta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pamatojumu likumprojekta 2. pantā ietvertajam Maksājumu pakalpojumu un elektroniskās naudas likuma (turpmāk - likums) pārejas noteikumam (proti, norādot, ka attiecīgs pārejas noteikums paredzēts, ņemot vērā</w:t>
            </w:r>
            <w:r w:rsidR="00000000" w:rsidRPr="00000000" w:rsidDel="00000000">
              <w:rPr>
                <w:i w:val="1"/>
                <w:rtl w:val="0"/>
              </w:rPr>
              <w:t xml:space="preserve"> Eiropas Parlamenta un Padomes 2023. gada 31. maija regulas (ES) 2023/1114 par kriptoaktīvu tirgiem un ar ko groza regulas (ES) Nr. 1093/2010 un (ES) Nr. 1095/2010 un direktīvas 2013/36/ES un (ES) 2019/1937</w:t>
            </w:r>
            <w:r w:rsidR="00000000" w:rsidRPr="00000000" w:rsidDel="00000000">
              <w:rPr>
                <w:rtl w:val="0"/>
              </w:rPr>
              <w:t xml:space="preserve"> (turpmāk - Regula Nr. 2023/1114) piemērošanas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skaidrojumu par likumprojekta 2. pantu, kas nosaka papildināt Maksājumu pakalpojumu un elektroniskās naudas likuma pārejas noteikumus ar 46. punktu, nosakot, ka elektroniskās naudas iestāde Regulas Nr. 2023/1114 3. panta 1. daļas 17. un 26. apakšpunktā norādītos pakalpojumus ir tiesīga sniegt no 2024. gada 30. decembra.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46.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1.1. sadaļā ietverto aprakstu, ņemot vērā, ka ar likumprojektu paredzēts papildināt likumā noteiktos elektroniskās naudas iestādes sniegtos finanšu pakalpojumus arī ar tās emitētā elektroniskās naudas žetona glabāšanas un pārvaldīšanas klienta vārdā nodrošināšanu (sk. likumprojekta 1. pantā izteikto likuma 4. panta ceturtās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1.1. sadaļā ir sniegta vispārīga informācija par elektroniskās naudas iestādes tiesībām sniegt finanšu pakalpojumus tādus kā elektroniskās naudas žetonu emisija, tos publiski piedāvājot un pielaižot tirdzniecībai, kā arī kriptoaktīvu pakalpojumu sniegšana. Likumprojekta anotācijas 1.3. sadaļā ir sniegta detalizētāka informācija par to, kādus kriptoaktīvu pakalpojumus saskaņā ar Regulu NR. 2023/1114 elektroniskās naudas iestāde ir tiesīga sniegt, proti, šobrīd jau likumprojekta anotācijā ir norādīta informācija, ka  elektroniskās naudas iestāde, kas ir saņēmusi atļauju sniegt finanšu pakalpojumus saskaņā ar Eiropas Parlamenta un Padomes 2009. gada 16. septembra Direktīvu Nr. 2009/110/EK par elektroniskās naudas iestāžu darbības sākšanu, veikšanu un konsultatīvu uzraudzību, par grozījumiem Direktīvā 2005/60/EK un Direktīvā 2006/48/EK un par Direktīvas 2000/46/EK atcelšanu (turpmāk – Direktīva Nr. 2009/110/EK), saskaņā ar Regulas Nr. 2023/1114 60. panta 4. punktu ir tiesīga emitēt elektroniskās naudas žetonu Regulas Nr. 2023/1114 3. panta 1. punkta 7. apakšpunkta izpratnē un sniegt Regulas Nr. 2023/1114  3. panta pirmās daļas 17. un 26. punktā noteiktos kriptoaktīvu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w:t>
            </w:r>
            <w:r w:rsidR="00000000" w:rsidRPr="00000000" w:rsidDel="00000000">
              <w:rPr>
                <w:i w:val="1"/>
                <w:rtl w:val="0"/>
              </w:rPr>
              <w:t xml:space="preserve">Elektroniskās naudas iestāde, kas ir saņēmusi atļauju sniegt finanšu pakalpojumus [..], </w:t>
            </w:r>
            <w:r w:rsidR="00000000" w:rsidRPr="00000000" w:rsidDel="00000000">
              <w:rPr>
                <w:i w:val="1"/>
                <w:u w:val="single"/>
                <w:rtl w:val="0"/>
              </w:rPr>
              <w:t xml:space="preserve">saskaņā ar Regulas Nr. 2023/1114 60. panta 4. punktu ir tiesīga emitēt elektroniskās naudas žetonu</w:t>
            </w:r>
            <w:r w:rsidR="00000000" w:rsidRPr="00000000" w:rsidDel="00000000">
              <w:rPr>
                <w:i w:val="1"/>
                <w:rtl w:val="0"/>
              </w:rPr>
              <w:t xml:space="preserve"> Regulas Nr. 2023/1114 3. panta 1. punkta 7. apakšpunkta izpratnē un sniegt Regulas Nr. 2023/1114  3. panta pirmās daļas 17. un 26. punktā noteiktos kriptoaktīvu pakalpojumus.</w:t>
            </w:r>
            <w:r w:rsidR="00000000" w:rsidRPr="00000000" w:rsidDel="00000000">
              <w:rPr>
                <w:rtl w:val="0"/>
              </w:rPr>
              <w:t xml:space="preserve">" Aicinām izvērtēt un sniegt izvērstāku skaidrojumu attiecībā uz elektroniskās naudas žetonu emisiju, jo Regulas Nr. 2024/1114 60. panta 4. punktā, šķiet, neregulē elektroniskās naudas iestādes </w:t>
            </w:r>
            <w:r w:rsidR="00000000" w:rsidRPr="00000000" w:rsidDel="00000000">
              <w:rPr>
                <w:u w:val="single"/>
                <w:rtl w:val="0"/>
              </w:rPr>
              <w:t xml:space="preserve">tiesības emitēt </w:t>
            </w:r>
            <w:r w:rsidR="00000000" w:rsidRPr="00000000" w:rsidDel="00000000">
              <w:rPr>
                <w:rtl w:val="0"/>
              </w:rPr>
              <w:t xml:space="preserve">elektroniskās naudas žetonu, bet gan tiesības sniegt kriptoaktīvu glabāšanas un pārvaldīšanas pakalpojumus klientu vārdā un kriptoaktīvu pārvešanas pakalpojumus klientu vārdā </w:t>
            </w:r>
            <w:r w:rsidR="00000000" w:rsidRPr="00000000" w:rsidDel="00000000">
              <w:rPr>
                <w:u w:val="single"/>
                <w:rtl w:val="0"/>
              </w:rPr>
              <w:t xml:space="preserve">attiecībā uz tās emitētajiem</w:t>
            </w:r>
            <w:r w:rsidR="00000000" w:rsidRPr="00000000" w:rsidDel="00000000">
              <w:rPr>
                <w:rtl w:val="0"/>
              </w:rPr>
              <w:t xml:space="preserve"> elektroniskajiem naudas žetoniem. Attiecīgi aicinām vai nu precizēt anotāciju, vai sniegt izvērstāku skaidrojumu, tostarp arī par likumprojekta 1. pantā ietvertā likuma 4. panta ceturtās daļas 1. punkta atbilstību Regulas Nr. 2024/1114 60. panta 4. punktam. Ja nepieciešams, aicinām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2023. gada 29. jūnijā spēkā stājās Regula Nr.2023/1114, kuras subjektu tvērumā iekļaujas fiziskas un juridiskas personas, kas ir iesaistītas kriptoaktīvu, tai skaitā, elektroniskās naudas žetonu un aktīviem piesaistītu žetonu, emitēšanā, publiskā piedāvāšanā un pielaidē tirdzniecībai vai sniedz kriptoaktīvu pakalpojumus Eiropas Savienībā, iekļaujot subjektu vidū arī elektroniskās naudas iestādes. Elektroniskās naudas iestāde, kas ir saņēmusi atļauju sniegt finanšu pakalpojumus saskaņā ar Eiropas Parlamenta un Padomes 2009. gada 16. septembra Direktīvu Nr. 2009/110/EK par elektroniskās naudas iestāžu darbības sākšanu, veikšanu un konsultatīvu uzraudzību, par grozījumiem Direktīvā 2005/60/EK un Direktīvā 2006/48/EK un par Direktīvas 2000/46/EK atcelšanu (turpmāk – Direktīva Nr. 2009/110/EK), ir tiesīga emitēt elektroniskās naudas žetonu Regulas Nr. 2023/1114 3. panta 1. punkta 7. apakšpunkta izpratnē un sniegt Regulas Nr. 2023/1114  3. panta pirmās daļas 17. un 26. punktā noteiktos kriptoaktīvu pakalpojumus. Elektroniskās naudas iestāde, kas plāno publiski piedāvāt elektroniskās naudas žetonus vai lūgt to pielaidi tirdzniecībai, atbilstoši Regulas Nr. 2023/1114 48. panta 6. punktā noteiktajam, iesniedz paziņojumu dalībvalsts kompetentajai iestādei. Savukārt elektroniskās naudas iestāde kas plāno sniegt kriptoaktīvu pakalpojumus, atbilstoši Regulas Nr. 2023/1114 60. panta 4. punktam iesniedz dalībvalsts kompetentajai iestādei paziņojumu, kurā ir iekļauta šā panta 7. punktā norādītais informācijas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5.4. sadaļas 1. tabulā tehniski precizēt atsauci uz Regulas Nr. 2023/1114 (proti, 60. panta 4. punkts, nevis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5.4. sadaļas 1.tabula no "60.pants 5. punkts" uz "60. pants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24-TA-669</w:t>
    </w:r>
    <w:r>
      <w:br/>
    </w:r>
    <w:r w:rsidR="00000000" w:rsidRPr="00000000" w:rsidDel="00000000">
      <w:rPr>
        <w:rtl w:val="0"/>
      </w:rPr>
      <w:t xml:space="preserve">19.04.2024. 11.27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24-TA-669</w:t>
    </w:r>
    <w:r>
      <w:br/>
    </w:r>
    <w:r w:rsidR="00000000" w:rsidRPr="00000000" w:rsidDel="00000000">
      <w:rPr>
        <w:rtl w:val="0"/>
      </w:rPr>
      <w:t xml:space="preserve">19.04.2024. 11.27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Izziņa_24-TA-669.docx</dc:title>
</cp:coreProperties>
</file>

<file path=docProps/custom.xml><?xml version="1.0" encoding="utf-8"?>
<Properties xmlns="http://schemas.openxmlformats.org/officeDocument/2006/custom-properties" xmlns:vt="http://schemas.openxmlformats.org/officeDocument/2006/docPropsVTypes"/>
</file>