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1E53E9" w:rsidRDefault="008E58A9">
      <w:pPr>
        <w:spacing w:after="240"/>
        <w:jc w:val="center"/>
        <w:rPr>
          <w:b/>
        </w:rPr>
      </w:pPr>
      <w:r>
        <w:rPr>
          <w:b/>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1E53E9">
        <w:tc>
          <w:tcPr>
            <w:tcW w:w="750" w:type="dxa"/>
            <w:shd w:val="clear" w:color="auto" w:fill="FFFFFF"/>
            <w:noWrap/>
            <w:tcMar>
              <w:top w:w="75" w:type="dxa"/>
              <w:left w:w="75" w:type="dxa"/>
              <w:bottom w:w="75" w:type="dxa"/>
              <w:right w:w="75" w:type="dxa"/>
            </w:tcMar>
            <w:vAlign w:val="center"/>
          </w:tcPr>
          <w:p w:rsidR="001E53E9" w:rsidRDefault="008E58A9">
            <w:pPr>
              <w:jc w:val="center"/>
            </w:pPr>
            <w:proofErr w:type="spellStart"/>
            <w:r>
              <w:rPr>
                <w:b/>
              </w:rPr>
              <w:t>Nr.p.k</w:t>
            </w:r>
            <w:proofErr w:type="spellEnd"/>
            <w:r>
              <w:rPr>
                <w:b/>
              </w:rPr>
              <w:t>.</w:t>
            </w:r>
          </w:p>
        </w:tc>
        <w:tc>
          <w:tcPr>
            <w:tcW w:w="4155" w:type="dxa"/>
            <w:shd w:val="clear" w:color="auto" w:fill="FFFFFF"/>
            <w:noWrap/>
            <w:tcMar>
              <w:top w:w="75" w:type="dxa"/>
              <w:left w:w="75" w:type="dxa"/>
              <w:bottom w:w="75" w:type="dxa"/>
              <w:right w:w="75" w:type="dxa"/>
            </w:tcMar>
            <w:vAlign w:val="center"/>
          </w:tcPr>
          <w:p w:rsidR="001E53E9" w:rsidRDefault="008E58A9">
            <w:pPr>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rsidR="001E53E9" w:rsidRDefault="008E58A9">
            <w:pPr>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rsidR="001E53E9" w:rsidRDefault="008E58A9">
            <w:pPr>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rsidR="001E53E9" w:rsidRDefault="008E58A9">
            <w:pPr>
              <w:jc w:val="center"/>
            </w:pPr>
            <w:r>
              <w:rPr>
                <w:b/>
              </w:rPr>
              <w:t>Pamatojums, ja iebildums / priekšlikums nav ņemts vērā</w:t>
            </w:r>
          </w:p>
        </w:tc>
      </w:tr>
      <w:tr w:rsidR="001E53E9">
        <w:tc>
          <w:tcPr>
            <w:tcW w:w="750" w:type="dxa"/>
            <w:shd w:val="clear" w:color="auto" w:fill="FFFFFF"/>
            <w:noWrap/>
            <w:tcMar>
              <w:top w:w="75" w:type="dxa"/>
              <w:left w:w="75" w:type="dxa"/>
              <w:bottom w:w="75" w:type="dxa"/>
              <w:right w:w="75" w:type="dxa"/>
            </w:tcMar>
            <w:vAlign w:val="center"/>
          </w:tcPr>
          <w:p w:rsidR="001E53E9" w:rsidRDefault="008E58A9">
            <w:pPr>
              <w:jc w:val="center"/>
            </w:pPr>
            <w:r>
              <w:t>1.</w:t>
            </w:r>
          </w:p>
        </w:tc>
        <w:tc>
          <w:tcPr>
            <w:tcW w:w="4155" w:type="dxa"/>
            <w:shd w:val="clear" w:color="auto" w:fill="FFFFFF"/>
            <w:noWrap/>
            <w:tcMar>
              <w:top w:w="75" w:type="dxa"/>
              <w:left w:w="75" w:type="dxa"/>
              <w:bottom w:w="75" w:type="dxa"/>
              <w:right w:w="75" w:type="dxa"/>
            </w:tcMar>
            <w:vAlign w:val="center"/>
          </w:tcPr>
          <w:p w:rsidR="001E53E9" w:rsidRDefault="008E58A9">
            <w:pPr>
              <w:jc w:val="left"/>
            </w:pPr>
            <w:r>
              <w:t>*Akciju sabiedrība "RAF-AVIA"</w:t>
            </w:r>
          </w:p>
        </w:tc>
        <w:tc>
          <w:tcPr>
            <w:tcW w:w="4156" w:type="dxa"/>
            <w:shd w:val="clear" w:color="auto" w:fill="FFFFFF"/>
            <w:noWrap/>
            <w:tcMar>
              <w:top w:w="75" w:type="dxa"/>
              <w:left w:w="75" w:type="dxa"/>
              <w:bottom w:w="75" w:type="dxa"/>
              <w:right w:w="75" w:type="dxa"/>
            </w:tcMar>
            <w:vAlign w:val="center"/>
          </w:tcPr>
          <w:p w:rsidR="001E53E9" w:rsidRDefault="008E58A9" w:rsidP="00A2199B">
            <w:r>
              <w:t>Piedāvājam tālākajā saskaņošanas procesā ņemt vēra sekojošo:</w:t>
            </w:r>
            <w:r>
              <w:br/>
            </w:r>
            <w:r>
              <w:br/>
            </w:r>
            <w:r>
              <w:t>Likuma  grozījumā 5.panta otra daļa  tiek minēts par stratēģiskas nozīmes preču aprites subjektiem un proti, ka:</w:t>
            </w:r>
            <w:r>
              <w:br/>
            </w:r>
            <w:r>
              <w:t> “(2) Saņemot stratēģiskas nozīmes preču licenci militārām precēm, kas minētas Ei</w:t>
            </w:r>
            <w:r>
              <w:t>ropas Savienības Kopējā militāro preču sarakstā, stratēģiskas nozīmes preču aprites subjektam nepieciešama Aizsardzības ministrijas izsniegta speciālā atļauja (licence) komercdarbībai ar Eiropas Savienības Kopējā militāro preču sarakstā minētajām precēm.”;</w:t>
            </w:r>
            <w:r>
              <w:br/>
            </w:r>
            <w:r>
              <w:t>Mūsuprāt jāprecizē stratēģiskas nozīmes preču aprites subjekti.,,</w:t>
            </w:r>
            <w:r>
              <w:br/>
            </w:r>
            <w:r>
              <w:br/>
            </w:r>
            <w:r>
              <w:lastRenderedPageBreak/>
              <w:t>Esošā vecā likuma sadaļā ,,Vispārīgie noteikumi,, 1.pants. ,,Likumā lietotie termini stratēģiskas nozīmes preču aprites subjekti noteikti šādi:</w:t>
            </w:r>
            <w:r>
              <w:br/>
            </w:r>
            <w:r>
              <w:t>,,3) stratēģiskas nozīmes preču aprites subj</w:t>
            </w:r>
            <w:r>
              <w:t>ekti — fiziskās un juridiskās personas, kas eksportē, importē, pārvieto vai pārvadā tranzītā, pārvieto no vienas Eiropas Savienības dalībvalsts uz citu, veic starpniecības darījumu vai ražo, pilnveido, lieto, realizē, apkalpo vai glabā stratēģiskas nozīmes</w:t>
            </w:r>
            <w:r>
              <w:t xml:space="preserve"> preces;,,</w:t>
            </w:r>
            <w:r>
              <w:br/>
            </w:r>
            <w:r>
              <w:t>Bieži vien tiek jauktas juridiskas personas kas veļās pārvietot vai pārvadāt tranzītā, pārvietot no vienas valsts uz citu, ar tam juridiskam personām kuras minēto personu uzdevumā transportē preces, veicot vien pārvadātajā pakalpojumu.</w:t>
            </w:r>
            <w:r>
              <w:br/>
            </w:r>
            <w:r>
              <w:t>Vai  defi</w:t>
            </w:r>
            <w:r>
              <w:t xml:space="preserve">nējot šādi, pārvadātais  ( kas nodarbojās ar transportēšanas pakalpojumu  - aviokompānija) ir stratēģiskas nozīmes preču aprites subjekts? Aviokompānija, </w:t>
            </w:r>
            <w:r>
              <w:lastRenderedPageBreak/>
              <w:t>ka  Juridiska persona- gaisa kuģu operators, kurai pieder gaisa kuģis,  ar kuru paredzēts  preci pārva</w:t>
            </w:r>
            <w:r>
              <w:t>dāt, nevar būt stratēģiskas nozīmes preču aprites subjekts,  jo rīkojās vien stratēģiskas nozīmes preču aprites subjekta uzdevumā un  tā teikt sniedz  papildpakalpojumu. Vai tomēr šajā situācijā konkrētais pārvadātais ( kam pieder gaisa kuģis)  kļūst par s</w:t>
            </w:r>
            <w:r>
              <w:t>tratēģiskas nozīmes preču aprites subjektu un tam nepieciešama  Aizsardzības ministrijas izsniegta speciālā atļauja (licence) komercdarbībai ar Eiropas Savienības Kopējā militāro preču sarakstā minētajām precēm.?</w:t>
            </w:r>
            <w:r>
              <w:br/>
            </w:r>
            <w:r>
              <w:t>Uzskatam, ka lai nerastos dažāda veida stra</w:t>
            </w:r>
            <w:r>
              <w:t>tēģiskas nozīmes preču aprites subjektu  traktējums, būtu precīzāk jānodefinē preču aprites subjekti.  Jāņem  vērā to apstākli, ka juridiskās persona, kas eksportē, importē preci, lai pārvietotu vai pārvadātu to, izmanto citas juridiskās personas transport</w:t>
            </w:r>
            <w:r>
              <w:t xml:space="preserve">a pakalpojumu ( tā teikt brīva tirgū </w:t>
            </w:r>
            <w:r>
              <w:lastRenderedPageBreak/>
              <w:t xml:space="preserve">atrod pārvadātāju, noslēdz līgumu pievieno   kravai  eksportētājvalsts iestāžu izsniegto izvešanas atļauju vai tām pielīdzināmos dokumentus un importētājvalsts ievešanas atļauju vai starptautiskais importa sertifikātu, </w:t>
            </w:r>
            <w:r>
              <w:t>vai galīgā izlietojuma apliecinājums.")</w:t>
            </w:r>
            <w:r>
              <w:br/>
            </w:r>
            <w:r>
              <w:br/>
            </w:r>
            <w:r>
              <w:t>Piedāvājām, terminu  par  stratēģiskas nozīmes preču aprites subjektiem izteikt šādā redakcijā:</w:t>
            </w:r>
            <w:r>
              <w:br/>
            </w:r>
            <w:r>
              <w:t>3) stratēģiskas nozīmes preču aprites subjekti -fiziskās un juridiskās personas komercdarbība kas saistīta ar stratēģis</w:t>
            </w:r>
            <w:r>
              <w:t>kas nozīmes preces ražošanu, pilnveidošanu, lietošanu, realizāciju, apkalpošanu vai glabāšanu, ka ari tas, kas organizē eksportu, importu, pārvietošanu vai pārvadāšanu to  tranzītā, no vienas valsts uz citu, izmantojot  pārvadātāju kas veiks transportēšana</w:t>
            </w:r>
            <w:r>
              <w:t>s  pakalpojumu.  </w:t>
            </w:r>
            <w:r>
              <w:br/>
            </w:r>
            <w:r>
              <w:br/>
            </w:r>
            <w:r>
              <w:t xml:space="preserve">Piedāvājam papildināt 3. pantā izteikto otro daļu ar punktu 8) šādā </w:t>
            </w:r>
            <w:r>
              <w:lastRenderedPageBreak/>
              <w:t>redakcijā:</w:t>
            </w:r>
            <w:r>
              <w:br/>
            </w:r>
            <w:r>
              <w:t>Stratēģiskas nozīmes preču aprites subjektam kas organizē  eksportu, importu, pārvietošanu vai pārvadāšanu  tranzītā, no vienas valsts uz citu, izmantojot  pā</w:t>
            </w:r>
            <w:r>
              <w:t>rvadātāja pakalpojumus, jānodrošina to  ar stratēģiskas nozīmes preču licenci, eksportētājvalsts iestāžu izsniegto izvešanas atļauju vai tām pielīdzināmos dokumentiem un importētājvalsts ievešanas atļauju vai ar starptautisko importa sertifikātu.</w:t>
            </w:r>
            <w:r>
              <w:br/>
            </w:r>
            <w:r>
              <w:t>Vēlams li</w:t>
            </w:r>
            <w:r>
              <w:t>kumā sadaļā ,,Vispārīgie noteikumi,, 1.pantu ,,Likumā lietotie termini papildināt ar termina skaidrojumu, kas ir starp­niecības darījuma subjekts un pievienot tādus terminus, ka:</w:t>
            </w:r>
            <w:r>
              <w:br/>
            </w:r>
            <w:r>
              <w:t>Gaisa pārvadājumi — gaisa kuģu lidojumi, kurus veic, lai par atlīdzību vai sa</w:t>
            </w:r>
            <w:r>
              <w:t>skaņā ar nomas līgumu pārvadātu pasažierus, bagāžu, kravu un pastu.</w:t>
            </w:r>
            <w:r>
              <w:br/>
            </w:r>
            <w:r>
              <w:t xml:space="preserve">Aviopārvadātājs — gaisa kuģa ekspluatants, kas, izmantojot viņam </w:t>
            </w:r>
            <w:r>
              <w:lastRenderedPageBreak/>
              <w:t>piešķirtās tiesības, veic gaisa pārvadājumus.</w:t>
            </w:r>
            <w:r>
              <w:br/>
            </w:r>
            <w:r>
              <w:br/>
            </w:r>
          </w:p>
        </w:tc>
        <w:tc>
          <w:tcPr>
            <w:tcW w:w="1350" w:type="dxa"/>
            <w:shd w:val="clear" w:color="auto" w:fill="FFFFFF"/>
            <w:noWrap/>
            <w:tcMar>
              <w:top w:w="75" w:type="dxa"/>
              <w:left w:w="75" w:type="dxa"/>
              <w:bottom w:w="75" w:type="dxa"/>
              <w:right w:w="75" w:type="dxa"/>
            </w:tcMar>
            <w:vAlign w:val="center"/>
          </w:tcPr>
          <w:p w:rsidR="001E53E9" w:rsidRDefault="002759B1">
            <w:pPr>
              <w:jc w:val="left"/>
            </w:pPr>
            <w:r>
              <w:lastRenderedPageBreak/>
              <w:t>Nav ņemts vērā</w:t>
            </w:r>
          </w:p>
        </w:tc>
        <w:tc>
          <w:tcPr>
            <w:tcW w:w="4156" w:type="dxa"/>
            <w:shd w:val="clear" w:color="auto" w:fill="FFFFFF"/>
            <w:noWrap/>
            <w:tcMar>
              <w:top w:w="75" w:type="dxa"/>
              <w:left w:w="75" w:type="dxa"/>
              <w:bottom w:w="75" w:type="dxa"/>
              <w:right w:w="75" w:type="dxa"/>
            </w:tcMar>
            <w:vAlign w:val="center"/>
          </w:tcPr>
          <w:p w:rsidR="008765D4" w:rsidRDefault="002759B1" w:rsidP="00A2199B">
            <w:pPr>
              <w:pStyle w:val="ListParagraph"/>
              <w:numPr>
                <w:ilvl w:val="0"/>
                <w:numId w:val="1"/>
              </w:numPr>
            </w:pPr>
            <w:r>
              <w:t xml:space="preserve">Stratēģiskas nozīmes preču aprites subjekti var būt arī transporta pakalpojumu sniedzēji/pārvadātāji. </w:t>
            </w:r>
            <w:r w:rsidR="008736EB">
              <w:t xml:space="preserve">Praksē ir gadījumi, kad pārvadātāji pērk un pārdod, attiecīgi importē un eksportē stratēģiskas nozīmes preces, kā arī paši papildus tās pārvadā. </w:t>
            </w:r>
            <w:r w:rsidR="008765D4">
              <w:t>Stratēģiskas nozīmes preču aprites likuma (turpmāk – likums) 20. panta trešā un ceturtā daļa skaidri definē, kurš ir strat</w:t>
            </w:r>
            <w:r w:rsidR="00A2199B">
              <w:t>ē</w:t>
            </w:r>
            <w:r w:rsidR="008765D4">
              <w:t xml:space="preserve">ģiskas nozīmes preču aprites subjekts </w:t>
            </w:r>
            <w:r w:rsidR="00A2199B">
              <w:t>importējot vai eksportējot atbilstoši muitas procedūrām.</w:t>
            </w:r>
          </w:p>
          <w:p w:rsidR="00A2199B" w:rsidRDefault="00771D85" w:rsidP="00A2199B">
            <w:pPr>
              <w:pStyle w:val="ListParagraph"/>
              <w:numPr>
                <w:ilvl w:val="0"/>
                <w:numId w:val="1"/>
              </w:numPr>
            </w:pPr>
            <w:r>
              <w:t xml:space="preserve">Starpniecības darījuma definīcija jau tiek piedāvāta likumprojektā, izsakot </w:t>
            </w:r>
            <w:r>
              <w:lastRenderedPageBreak/>
              <w:t xml:space="preserve">likuma 1. panta 9. punktu atbilstoši </w:t>
            </w:r>
            <w:r w:rsidRPr="00771D85">
              <w:t>Eiropas Parlamenta un Padomes 2021. gada 20. maija regulas (ES) Nr. 2021/821, ar ko izveido Savienības režīmu divējāda lietojuma preču eksporta, starpniecības, tehniskās palīdzības, tranzīta un pārvadājumu kontrolei</w:t>
            </w:r>
            <w:r>
              <w:t xml:space="preserve"> 2. panta 7. punktā noteiktajam, kas papildus paredz, ka tikai pārvadāšanas pakalpojumi nav pakļauti kontrolei.</w:t>
            </w:r>
          </w:p>
          <w:p w:rsidR="00771D85" w:rsidRPr="00D11F62" w:rsidRDefault="00771D85" w:rsidP="00771D85">
            <w:pPr>
              <w:pStyle w:val="ListParagraph"/>
            </w:pPr>
            <w:r>
              <w:t xml:space="preserve">Papildus likumprojekta 5. pantā ir paredzēts atsevišķs regulējums, kas attiecas uz pārvadātājiem, attiecīgi izsakot likuma 4. panta ceturto daļu un papildinot ar </w:t>
            </w:r>
            <w:r w:rsidR="00D11F62">
              <w:t>4.</w:t>
            </w:r>
            <w:r w:rsidR="00D11F62">
              <w:rPr>
                <w:vertAlign w:val="superscript"/>
              </w:rPr>
              <w:t>1</w:t>
            </w:r>
            <w:r w:rsidR="00D11F62">
              <w:t xml:space="preserve"> un 4.</w:t>
            </w:r>
            <w:r w:rsidR="00D11F62">
              <w:rPr>
                <w:vertAlign w:val="superscript"/>
              </w:rPr>
              <w:t>2</w:t>
            </w:r>
            <w:r w:rsidR="00D11F62">
              <w:t xml:space="preserve"> daļu, kas paredz, ka pārvadātājiem licence nav nepieciešama pie attiecīgiem nosacījumiem.</w:t>
            </w:r>
            <w:bookmarkStart w:id="0" w:name="_GoBack"/>
            <w:bookmarkEnd w:id="0"/>
          </w:p>
        </w:tc>
      </w:tr>
    </w:tbl>
    <w:p w:rsidR="008E58A9" w:rsidRDefault="008E58A9"/>
    <w:sectPr w:rsidR="008E58A9">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58A9" w:rsidRDefault="008E58A9">
      <w:r>
        <w:separator/>
      </w:r>
    </w:p>
  </w:endnote>
  <w:endnote w:type="continuationSeparator" w:id="0">
    <w:p w:rsidR="008E58A9" w:rsidRDefault="008E5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53E9" w:rsidRDefault="008E58A9">
    <w:pPr>
      <w:jc w:val="right"/>
    </w:pPr>
    <w:r>
      <w:rPr>
        <w:sz w:val="24"/>
        <w:szCs w:val="24"/>
      </w:rPr>
      <w:fldChar w:fldCharType="begin"/>
    </w:r>
    <w:r>
      <w:rPr>
        <w:sz w:val="24"/>
        <w:szCs w:val="24"/>
      </w:rPr>
      <w:instrText>PAGE</w:instrText>
    </w:r>
    <w:r w:rsidR="002759B1">
      <w:rPr>
        <w:sz w:val="24"/>
        <w:szCs w:val="24"/>
      </w:rPr>
      <w:fldChar w:fldCharType="separate"/>
    </w:r>
    <w:r w:rsidR="002759B1">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8E58A9">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58A9" w:rsidRDefault="008E58A9">
      <w:r>
        <w:separator/>
      </w:r>
    </w:p>
  </w:footnote>
  <w:footnote w:type="continuationSeparator" w:id="0">
    <w:p w:rsidR="008E58A9" w:rsidRDefault="008E58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53E9" w:rsidRDefault="008E58A9">
    <w:pPr>
      <w:pStyle w:val="Header"/>
      <w:contextualSpacing w:val="0"/>
    </w:pPr>
    <w:r>
      <w:t>Viedokļu pārskats 23-TA-2700</w:t>
    </w:r>
    <w:r>
      <w:br/>
    </w:r>
    <w:r>
      <w:t>Izdrukāts 06.02.2024. 16.29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53E9" w:rsidRDefault="008E58A9">
    <w:pPr>
      <w:pStyle w:val="Header"/>
      <w:contextualSpacing w:val="0"/>
    </w:pPr>
    <w:r>
      <w:t>Viedokļu pārskats 23-TA-2700</w:t>
    </w:r>
    <w:r>
      <w:br/>
    </w:r>
    <w:r>
      <w:t>Izdrukāts 06.02.2024. 16.29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3B3ACA"/>
    <w:multiLevelType w:val="hybridMultilevel"/>
    <w:tmpl w:val="098A58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1E53E9"/>
    <w:rsid w:val="001E53E9"/>
    <w:rsid w:val="002759B1"/>
    <w:rsid w:val="00771D85"/>
    <w:rsid w:val="008736EB"/>
    <w:rsid w:val="008765D4"/>
    <w:rsid w:val="008E58A9"/>
    <w:rsid w:val="00A2199B"/>
    <w:rsid w:val="00D11F62"/>
    <w:rsid w:val="00F61F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4BA84"/>
  <w15:docId w15:val="{69B11380-6BA1-4BF6-A1C3-724648C7C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2759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6</Pages>
  <Words>3470</Words>
  <Characters>1978</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viedoklu_parskats_23-TA-2700.docx</vt:lpstr>
    </vt:vector>
  </TitlesOfParts>
  <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viedoklu_parskats_23-TA-2700.docx</dc:title>
  <cp:lastModifiedBy>Nauris Rumpe</cp:lastModifiedBy>
  <cp:revision>5</cp:revision>
  <dcterms:created xsi:type="dcterms:W3CDTF">2024-02-07T11:01:00Z</dcterms:created>
  <dcterms:modified xsi:type="dcterms:W3CDTF">2024-02-07T11:33:00Z</dcterms:modified>
</cp:coreProperties>
</file>