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22-TA-2514: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Nacionālo bruņoto spēku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Nacionālo bruņoto spēku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"Grozījums Nacionālo bruņoto spēku likumā" (turpmāk – projekts) spēkā stāšanās noteikumu, ņemot vērā to, ka no projekta sākotnējās ietekmes novērtējuma ziņojuma (turpmāk – anotācija) 1.2. apakšsadaļas izriet, ka projekts stāsies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norādot, ka likums stājas spēkā vienlaikus ar Valsts aizsardzības dienesta likumu. Atbilstoši 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Nacionālo bruņoto spēku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norādīts, ka projekts stāsies spēkā nākamajā dienā pēc tā izsludināšanas. Savukārt anotācijas 4.1.1. apakšsadaļā norādīts, ka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apakšsadaļā skaidrot, kāpēc projektam ir noteikta spēkā stāšanās nākamajā dienā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22-TA-2514</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22-TA-2514</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Izziņa_22-TA-2514.docx</dc:title>
</cp:coreProperties>
</file>

<file path=docProps/custom.xml><?xml version="1.0" encoding="utf-8"?>
<Properties xmlns="http://schemas.openxmlformats.org/officeDocument/2006/custom-properties" xmlns:vt="http://schemas.openxmlformats.org/officeDocument/2006/docPropsVTypes"/>
</file>