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E38D" w14:textId="7BC0B1E4" w:rsidR="00576E16" w:rsidRPr="001508A1" w:rsidRDefault="00576E16" w:rsidP="00576E16">
      <w:pPr>
        <w:rPr>
          <w:b/>
          <w:i/>
          <w:sz w:val="22"/>
        </w:rPr>
      </w:pPr>
      <w:bookmarkStart w:id="0" w:name="_GoBack"/>
      <w:bookmarkEnd w:id="0"/>
      <w:r w:rsidRPr="00C62F8B">
        <w:rPr>
          <w:sz w:val="26"/>
          <w:szCs w:val="26"/>
        </w:rPr>
        <w:t>Budžeta un finanšu (nodokļu) komisija</w:t>
      </w:r>
      <w:r>
        <w:rPr>
          <w:sz w:val="26"/>
          <w:szCs w:val="26"/>
        </w:rPr>
        <w:tab/>
      </w:r>
    </w:p>
    <w:p w14:paraId="32DEE38E" w14:textId="3587FBC5" w:rsidR="002E317B" w:rsidRDefault="00576E16" w:rsidP="0015589F">
      <w:pPr>
        <w:jc w:val="right"/>
        <w:rPr>
          <w:sz w:val="26"/>
          <w:szCs w:val="26"/>
        </w:rPr>
      </w:pPr>
      <w:r w:rsidRPr="00C62F8B">
        <w:rPr>
          <w:sz w:val="26"/>
          <w:szCs w:val="26"/>
        </w:rPr>
        <w:t>L</w:t>
      </w:r>
      <w:r>
        <w:rPr>
          <w:sz w:val="26"/>
          <w:szCs w:val="26"/>
        </w:rPr>
        <w:t xml:space="preserve">ikumprojekts </w:t>
      </w:r>
      <w:r w:rsidR="008E3EF9">
        <w:rPr>
          <w:sz w:val="26"/>
          <w:szCs w:val="26"/>
        </w:rPr>
        <w:t>(steidzams) otrajam</w:t>
      </w:r>
      <w:r w:rsidR="00C55326">
        <w:rPr>
          <w:sz w:val="26"/>
          <w:szCs w:val="26"/>
        </w:rPr>
        <w:t xml:space="preserve"> lasījumam</w:t>
      </w:r>
    </w:p>
    <w:p w14:paraId="76F8C869" w14:textId="77777777" w:rsidR="00851702" w:rsidRPr="0015589F" w:rsidRDefault="00851702" w:rsidP="0015589F">
      <w:pPr>
        <w:jc w:val="right"/>
        <w:rPr>
          <w:sz w:val="26"/>
          <w:szCs w:val="26"/>
        </w:rPr>
      </w:pPr>
    </w:p>
    <w:p w14:paraId="2EF12943" w14:textId="77777777" w:rsidR="00265EF2" w:rsidRPr="00265EF2" w:rsidRDefault="002E317B" w:rsidP="00265EF2">
      <w:pPr>
        <w:jc w:val="center"/>
        <w:rPr>
          <w:b/>
          <w:bCs/>
          <w:iCs/>
          <w:sz w:val="26"/>
          <w:szCs w:val="26"/>
        </w:rPr>
      </w:pPr>
      <w:r w:rsidRPr="00EB0501">
        <w:rPr>
          <w:rStyle w:val="Emphasis"/>
          <w:b/>
          <w:i w:val="0"/>
          <w:sz w:val="26"/>
          <w:szCs w:val="26"/>
        </w:rPr>
        <w:t xml:space="preserve"> </w:t>
      </w:r>
      <w:r w:rsidR="00265EF2" w:rsidRPr="00265EF2">
        <w:rPr>
          <w:b/>
          <w:bCs/>
          <w:iCs/>
          <w:sz w:val="26"/>
          <w:szCs w:val="26"/>
        </w:rPr>
        <w:t>Grozījumi Publiskas personas kapitāla daļu un kapitālsabiedrību pārvaldības likumā</w:t>
      </w:r>
    </w:p>
    <w:p w14:paraId="32DEE390" w14:textId="16268FA4" w:rsidR="00576E16" w:rsidRPr="00FC3F53" w:rsidRDefault="00265EF2" w:rsidP="00576E16">
      <w:pPr>
        <w:jc w:val="center"/>
        <w:rPr>
          <w:rStyle w:val="Emphasis"/>
          <w:b/>
          <w:sz w:val="26"/>
          <w:szCs w:val="26"/>
        </w:rPr>
      </w:pPr>
      <w:r>
        <w:rPr>
          <w:rStyle w:val="Emphasis"/>
          <w:b/>
          <w:sz w:val="26"/>
          <w:szCs w:val="26"/>
        </w:rPr>
        <w:t>(Nr.</w:t>
      </w:r>
      <w:r w:rsidR="00851702">
        <w:rPr>
          <w:rStyle w:val="Emphasis"/>
          <w:b/>
          <w:sz w:val="26"/>
          <w:szCs w:val="26"/>
        </w:rPr>
        <w:t>11</w:t>
      </w:r>
      <w:r>
        <w:rPr>
          <w:rStyle w:val="Emphasis"/>
          <w:b/>
          <w:sz w:val="26"/>
          <w:szCs w:val="26"/>
        </w:rPr>
        <w:t>80</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14:paraId="32DEE391" w14:textId="77777777" w:rsidR="002E317B" w:rsidRPr="00495B31" w:rsidRDefault="002E317B" w:rsidP="00576E16">
      <w:pPr>
        <w:rPr>
          <w:rStyle w:val="Emphasis"/>
          <w:b/>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8"/>
        <w:gridCol w:w="3969"/>
        <w:gridCol w:w="567"/>
        <w:gridCol w:w="3969"/>
        <w:gridCol w:w="1418"/>
        <w:gridCol w:w="1418"/>
      </w:tblGrid>
      <w:tr w:rsidR="008E3EF9" w:rsidRPr="00DF1F38" w14:paraId="32DEE394" w14:textId="08530279" w:rsidTr="008E5F03">
        <w:tc>
          <w:tcPr>
            <w:tcW w:w="3969" w:type="dxa"/>
            <w:shd w:val="clear" w:color="auto" w:fill="auto"/>
          </w:tcPr>
          <w:p w14:paraId="32DEE392" w14:textId="77777777" w:rsidR="008E3EF9" w:rsidRPr="00DF1F38" w:rsidRDefault="008E3EF9" w:rsidP="00B87376">
            <w:pPr>
              <w:jc w:val="center"/>
              <w:rPr>
                <w:b/>
                <w:bCs/>
                <w:iCs/>
                <w:szCs w:val="24"/>
              </w:rPr>
            </w:pPr>
            <w:r w:rsidRPr="00DF1F38">
              <w:rPr>
                <w:b/>
                <w:szCs w:val="24"/>
              </w:rPr>
              <w:t>Spēkā esošā redakcija</w:t>
            </w:r>
          </w:p>
        </w:tc>
        <w:tc>
          <w:tcPr>
            <w:tcW w:w="3969" w:type="dxa"/>
            <w:shd w:val="clear" w:color="auto" w:fill="auto"/>
          </w:tcPr>
          <w:p w14:paraId="64006950" w14:textId="56520B21" w:rsidR="008E3EF9" w:rsidRPr="00DF1F38" w:rsidRDefault="008E3EF9" w:rsidP="005012EB">
            <w:pPr>
              <w:jc w:val="center"/>
              <w:rPr>
                <w:b/>
                <w:szCs w:val="24"/>
              </w:rPr>
            </w:pPr>
            <w:r w:rsidRPr="00DF1F38">
              <w:rPr>
                <w:b/>
                <w:szCs w:val="24"/>
              </w:rPr>
              <w:t>Pirmā lasījuma redakcija</w:t>
            </w:r>
          </w:p>
          <w:p w14:paraId="32DEE393" w14:textId="28BFDFFB" w:rsidR="008E3EF9" w:rsidRPr="00DF1F38" w:rsidRDefault="008E3EF9" w:rsidP="005012EB">
            <w:pPr>
              <w:jc w:val="center"/>
              <w:rPr>
                <w:b/>
                <w:szCs w:val="24"/>
              </w:rPr>
            </w:pPr>
          </w:p>
        </w:tc>
        <w:tc>
          <w:tcPr>
            <w:tcW w:w="567" w:type="dxa"/>
          </w:tcPr>
          <w:p w14:paraId="12A02354" w14:textId="3B75A08C" w:rsidR="008E3EF9" w:rsidRPr="00DF1F38" w:rsidRDefault="008E3EF9" w:rsidP="00DF1F38">
            <w:pPr>
              <w:jc w:val="center"/>
              <w:rPr>
                <w:b/>
                <w:szCs w:val="24"/>
              </w:rPr>
            </w:pPr>
            <w:r w:rsidRPr="00DF1F38">
              <w:rPr>
                <w:b/>
                <w:szCs w:val="24"/>
              </w:rPr>
              <w:t>Nr.</w:t>
            </w:r>
          </w:p>
        </w:tc>
        <w:tc>
          <w:tcPr>
            <w:tcW w:w="3969" w:type="dxa"/>
          </w:tcPr>
          <w:p w14:paraId="2CB7B4F3" w14:textId="77777777" w:rsidR="008E3EF9" w:rsidRPr="00DF1F38" w:rsidRDefault="008E3EF9" w:rsidP="005012EB">
            <w:pPr>
              <w:jc w:val="center"/>
              <w:rPr>
                <w:b/>
                <w:szCs w:val="24"/>
              </w:rPr>
            </w:pPr>
            <w:r w:rsidRPr="00DF1F38">
              <w:rPr>
                <w:b/>
                <w:szCs w:val="24"/>
              </w:rPr>
              <w:t>Priekšlikumi</w:t>
            </w:r>
          </w:p>
          <w:p w14:paraId="2FC496ED" w14:textId="395348AC" w:rsidR="008E3EF9" w:rsidRPr="00DF1F38" w:rsidRDefault="008E3EF9" w:rsidP="005012EB">
            <w:pPr>
              <w:jc w:val="center"/>
              <w:rPr>
                <w:b/>
                <w:szCs w:val="24"/>
              </w:rPr>
            </w:pPr>
            <w:r w:rsidRPr="00DF1F38">
              <w:rPr>
                <w:b/>
                <w:szCs w:val="24"/>
              </w:rPr>
              <w:t>(</w:t>
            </w:r>
            <w:r w:rsidR="00DF1F38">
              <w:rPr>
                <w:b/>
                <w:szCs w:val="24"/>
              </w:rPr>
              <w:t>2</w:t>
            </w:r>
            <w:r w:rsidRPr="00DF1F38">
              <w:rPr>
                <w:b/>
                <w:szCs w:val="24"/>
              </w:rPr>
              <w:t>)</w:t>
            </w:r>
          </w:p>
        </w:tc>
        <w:tc>
          <w:tcPr>
            <w:tcW w:w="1418" w:type="dxa"/>
          </w:tcPr>
          <w:p w14:paraId="32F53068" w14:textId="5F52E4BD" w:rsidR="008E3EF9" w:rsidRPr="00DF1F38" w:rsidRDefault="008E3EF9" w:rsidP="005012EB">
            <w:pPr>
              <w:jc w:val="center"/>
              <w:rPr>
                <w:b/>
                <w:szCs w:val="24"/>
              </w:rPr>
            </w:pPr>
            <w:r w:rsidRPr="00DF1F38">
              <w:rPr>
                <w:b/>
                <w:szCs w:val="24"/>
              </w:rPr>
              <w:t>Ministru kabineta atzinums</w:t>
            </w:r>
          </w:p>
        </w:tc>
        <w:tc>
          <w:tcPr>
            <w:tcW w:w="1418" w:type="dxa"/>
          </w:tcPr>
          <w:p w14:paraId="739287A3" w14:textId="1E3D39D2" w:rsidR="008E3EF9" w:rsidRPr="00DF1F38" w:rsidRDefault="008E3EF9" w:rsidP="005012EB">
            <w:pPr>
              <w:jc w:val="center"/>
              <w:rPr>
                <w:b/>
                <w:szCs w:val="24"/>
              </w:rPr>
            </w:pPr>
            <w:r w:rsidRPr="00DF1F38">
              <w:rPr>
                <w:b/>
                <w:szCs w:val="24"/>
              </w:rPr>
              <w:t>Komisijas atzinums</w:t>
            </w:r>
          </w:p>
        </w:tc>
      </w:tr>
      <w:tr w:rsidR="008E3EF9" w:rsidRPr="00851702" w14:paraId="61B7D289" w14:textId="576A7472" w:rsidTr="008E5F03">
        <w:tc>
          <w:tcPr>
            <w:tcW w:w="3969" w:type="dxa"/>
            <w:shd w:val="clear" w:color="auto" w:fill="auto"/>
          </w:tcPr>
          <w:p w14:paraId="0FBF1C63" w14:textId="77777777" w:rsidR="008E3EF9" w:rsidRPr="00851702" w:rsidRDefault="008E3EF9" w:rsidP="00B87376">
            <w:pPr>
              <w:jc w:val="center"/>
              <w:rPr>
                <w:b/>
                <w:sz w:val="22"/>
              </w:rPr>
            </w:pPr>
          </w:p>
        </w:tc>
        <w:tc>
          <w:tcPr>
            <w:tcW w:w="3969" w:type="dxa"/>
            <w:shd w:val="clear" w:color="auto" w:fill="auto"/>
          </w:tcPr>
          <w:p w14:paraId="34FE2B00" w14:textId="77777777" w:rsidR="008E3EF9" w:rsidRDefault="008E3EF9" w:rsidP="00620D2C">
            <w:pPr>
              <w:ind w:firstLine="567"/>
              <w:jc w:val="both"/>
              <w:rPr>
                <w:sz w:val="22"/>
              </w:rPr>
            </w:pPr>
            <w:r w:rsidRPr="00265EF2">
              <w:rPr>
                <w:sz w:val="22"/>
              </w:rPr>
              <w:t>Izdarīt Publiskas personas kapitāla daļu un kapitālsabiedrību pārvaldības likumā  (Latvijas Vēstnesis, 2014, 216. nr.; 2015, 127. nr.; 2016, 120. nr.; 2018, 57. nr.; 2019, 129. nr.; 2020, 243. nr.; 2021, 86A. nr.) šādus grozījumus:</w:t>
            </w:r>
          </w:p>
          <w:p w14:paraId="31B0ABB3" w14:textId="5EE93E0C" w:rsidR="00DF1F38" w:rsidRPr="00851702" w:rsidRDefault="00DF1F38" w:rsidP="00620D2C">
            <w:pPr>
              <w:ind w:firstLine="567"/>
              <w:jc w:val="both"/>
              <w:rPr>
                <w:sz w:val="22"/>
              </w:rPr>
            </w:pPr>
          </w:p>
        </w:tc>
        <w:tc>
          <w:tcPr>
            <w:tcW w:w="567" w:type="dxa"/>
          </w:tcPr>
          <w:p w14:paraId="2BE1B567" w14:textId="77777777" w:rsidR="008E3EF9" w:rsidRPr="00DF1F38" w:rsidRDefault="008E3EF9" w:rsidP="00DF1F38">
            <w:pPr>
              <w:jc w:val="center"/>
              <w:rPr>
                <w:b/>
                <w:sz w:val="22"/>
              </w:rPr>
            </w:pPr>
          </w:p>
        </w:tc>
        <w:tc>
          <w:tcPr>
            <w:tcW w:w="3969" w:type="dxa"/>
          </w:tcPr>
          <w:p w14:paraId="36BF8256" w14:textId="24780843" w:rsidR="008E3EF9" w:rsidRPr="00265EF2" w:rsidRDefault="008E3EF9" w:rsidP="00620D2C">
            <w:pPr>
              <w:ind w:firstLine="567"/>
              <w:jc w:val="both"/>
              <w:rPr>
                <w:sz w:val="22"/>
              </w:rPr>
            </w:pPr>
          </w:p>
        </w:tc>
        <w:tc>
          <w:tcPr>
            <w:tcW w:w="1418" w:type="dxa"/>
          </w:tcPr>
          <w:p w14:paraId="028CB7F5" w14:textId="77777777" w:rsidR="008E3EF9" w:rsidRPr="00265EF2" w:rsidRDefault="008E3EF9" w:rsidP="00620D2C">
            <w:pPr>
              <w:ind w:firstLine="567"/>
              <w:jc w:val="both"/>
              <w:rPr>
                <w:sz w:val="22"/>
              </w:rPr>
            </w:pPr>
          </w:p>
        </w:tc>
        <w:tc>
          <w:tcPr>
            <w:tcW w:w="1418" w:type="dxa"/>
          </w:tcPr>
          <w:p w14:paraId="2A02198C" w14:textId="77777777" w:rsidR="008E3EF9" w:rsidRPr="00265EF2" w:rsidRDefault="008E3EF9" w:rsidP="00620D2C">
            <w:pPr>
              <w:ind w:firstLine="567"/>
              <w:jc w:val="both"/>
              <w:rPr>
                <w:sz w:val="22"/>
              </w:rPr>
            </w:pPr>
          </w:p>
        </w:tc>
      </w:tr>
      <w:tr w:rsidR="008E3EF9" w:rsidRPr="00851702" w14:paraId="539D0F88" w14:textId="2D9AEB6C" w:rsidTr="008E5F03">
        <w:tc>
          <w:tcPr>
            <w:tcW w:w="3969" w:type="dxa"/>
            <w:shd w:val="clear" w:color="auto" w:fill="auto"/>
          </w:tcPr>
          <w:p w14:paraId="1FAE7282" w14:textId="77777777" w:rsidR="008E3EF9" w:rsidRPr="00265EF2" w:rsidRDefault="008E3EF9" w:rsidP="00620D2C">
            <w:pPr>
              <w:ind w:firstLine="567"/>
              <w:jc w:val="both"/>
              <w:rPr>
                <w:sz w:val="22"/>
              </w:rPr>
            </w:pPr>
            <w:r w:rsidRPr="00265EF2">
              <w:rPr>
                <w:b/>
                <w:bCs/>
                <w:sz w:val="22"/>
              </w:rPr>
              <w:t>28.pants. Prognozējamās un dividendēs izmaksājamās peļņas daļas noteikšanas kārtība valsts kapitālsabiedrībā un publiski privātajā kapitālsabiedrībā, kurā valsts ir dalībnieks (akcionārs)</w:t>
            </w:r>
          </w:p>
          <w:p w14:paraId="4EF2E324" w14:textId="77777777" w:rsidR="008E3EF9" w:rsidRPr="00851702" w:rsidRDefault="008E3EF9" w:rsidP="00B87376">
            <w:pPr>
              <w:jc w:val="center"/>
              <w:rPr>
                <w:b/>
                <w:sz w:val="22"/>
              </w:rPr>
            </w:pPr>
          </w:p>
        </w:tc>
        <w:tc>
          <w:tcPr>
            <w:tcW w:w="3969" w:type="dxa"/>
            <w:shd w:val="clear" w:color="auto" w:fill="auto"/>
          </w:tcPr>
          <w:p w14:paraId="1BC59546" w14:textId="77777777" w:rsidR="008E3EF9" w:rsidRDefault="008E3EF9" w:rsidP="00620D2C">
            <w:pPr>
              <w:ind w:firstLine="567"/>
              <w:jc w:val="both"/>
              <w:rPr>
                <w:sz w:val="22"/>
              </w:rPr>
            </w:pPr>
            <w:r w:rsidRPr="00265EF2">
              <w:rPr>
                <w:sz w:val="22"/>
              </w:rPr>
              <w:t>1. 28. pantā:</w:t>
            </w:r>
          </w:p>
          <w:p w14:paraId="05FC5A4D" w14:textId="77777777" w:rsidR="008E3EF9" w:rsidRPr="00265EF2" w:rsidRDefault="008E3EF9" w:rsidP="00620D2C">
            <w:pPr>
              <w:ind w:firstLine="567"/>
              <w:jc w:val="both"/>
              <w:rPr>
                <w:sz w:val="22"/>
              </w:rPr>
            </w:pPr>
            <w:r w:rsidRPr="00265EF2">
              <w:rPr>
                <w:sz w:val="22"/>
              </w:rPr>
              <w:t>izteikt panta nosaukumu šādā redakcijā:</w:t>
            </w:r>
          </w:p>
          <w:p w14:paraId="5700C547" w14:textId="716C1DEB" w:rsidR="008E3EF9" w:rsidRPr="00265EF2" w:rsidRDefault="008E3EF9" w:rsidP="00620D2C">
            <w:pPr>
              <w:numPr>
                <w:ilvl w:val="0"/>
                <w:numId w:val="4"/>
              </w:numPr>
              <w:ind w:firstLine="567"/>
              <w:jc w:val="both"/>
              <w:rPr>
                <w:sz w:val="22"/>
              </w:rPr>
            </w:pPr>
            <w:r w:rsidRPr="00265EF2">
              <w:rPr>
                <w:b/>
                <w:sz w:val="22"/>
              </w:rPr>
              <w:t>"28. pants. Prognozējamās un dividendēs izmaksājamās peļņas daļas noteikšanas kārtība valsts kapitālsabiedrībās, to atkarīgajās kapitālsabiedrībās un meitas sabiedrībās, publiskas personas kontrolētās kapitālsabiedrībās, publiski privātajās kapitālsabiedrībās, kurās valsts ir dalībnieks (akcionārs), un to meitas sabiedrībās";</w:t>
            </w:r>
          </w:p>
        </w:tc>
        <w:tc>
          <w:tcPr>
            <w:tcW w:w="567" w:type="dxa"/>
          </w:tcPr>
          <w:p w14:paraId="4690143B" w14:textId="77777777" w:rsidR="008E3EF9" w:rsidRPr="00DF1F38" w:rsidRDefault="008E3EF9" w:rsidP="00DF1F38">
            <w:pPr>
              <w:jc w:val="center"/>
              <w:rPr>
                <w:b/>
                <w:sz w:val="22"/>
              </w:rPr>
            </w:pPr>
          </w:p>
        </w:tc>
        <w:tc>
          <w:tcPr>
            <w:tcW w:w="3969" w:type="dxa"/>
          </w:tcPr>
          <w:p w14:paraId="2105A6DE" w14:textId="0CF8F9B4" w:rsidR="008E3EF9" w:rsidRPr="00265EF2" w:rsidRDefault="008E3EF9" w:rsidP="00620D2C">
            <w:pPr>
              <w:ind w:firstLine="567"/>
              <w:jc w:val="both"/>
              <w:rPr>
                <w:sz w:val="22"/>
              </w:rPr>
            </w:pPr>
          </w:p>
        </w:tc>
        <w:tc>
          <w:tcPr>
            <w:tcW w:w="1418" w:type="dxa"/>
          </w:tcPr>
          <w:p w14:paraId="3DB3505F" w14:textId="77777777" w:rsidR="008E3EF9" w:rsidRPr="00265EF2" w:rsidRDefault="008E3EF9" w:rsidP="00620D2C">
            <w:pPr>
              <w:ind w:firstLine="567"/>
              <w:jc w:val="both"/>
              <w:rPr>
                <w:sz w:val="22"/>
              </w:rPr>
            </w:pPr>
          </w:p>
        </w:tc>
        <w:tc>
          <w:tcPr>
            <w:tcW w:w="1418" w:type="dxa"/>
          </w:tcPr>
          <w:p w14:paraId="2B4666BA" w14:textId="77777777" w:rsidR="008E3EF9" w:rsidRPr="00265EF2" w:rsidRDefault="008E3EF9" w:rsidP="00620D2C">
            <w:pPr>
              <w:ind w:firstLine="567"/>
              <w:jc w:val="both"/>
              <w:rPr>
                <w:sz w:val="22"/>
              </w:rPr>
            </w:pPr>
          </w:p>
        </w:tc>
      </w:tr>
      <w:tr w:rsidR="008E3EF9" w:rsidRPr="00851702" w14:paraId="68ABFC33" w14:textId="46DFB4E7" w:rsidTr="008E5F03">
        <w:tc>
          <w:tcPr>
            <w:tcW w:w="3969" w:type="dxa"/>
            <w:shd w:val="clear" w:color="auto" w:fill="auto"/>
          </w:tcPr>
          <w:p w14:paraId="687AFAE1" w14:textId="15F97FF4" w:rsidR="008E3EF9" w:rsidRPr="00265EF2" w:rsidRDefault="008E3EF9" w:rsidP="00265EF2">
            <w:pPr>
              <w:ind w:firstLine="567"/>
              <w:jc w:val="both"/>
              <w:rPr>
                <w:sz w:val="22"/>
              </w:rPr>
            </w:pPr>
            <w:r w:rsidRPr="00265EF2">
              <w:rPr>
                <w:sz w:val="22"/>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14:paraId="50F76E71" w14:textId="77777777" w:rsidR="008E3EF9" w:rsidRPr="00265EF2" w:rsidRDefault="008E3EF9" w:rsidP="00265EF2">
            <w:pPr>
              <w:ind w:firstLine="567"/>
              <w:jc w:val="both"/>
              <w:rPr>
                <w:sz w:val="22"/>
              </w:rPr>
            </w:pPr>
            <w:r w:rsidRPr="00265EF2">
              <w:rPr>
                <w:sz w:val="22"/>
              </w:rPr>
              <w:lastRenderedPageBreak/>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14:paraId="3F54C3B0" w14:textId="77777777" w:rsidR="008E3EF9" w:rsidRPr="00265EF2" w:rsidRDefault="008E3EF9" w:rsidP="00265EF2">
            <w:pPr>
              <w:ind w:firstLine="567"/>
              <w:jc w:val="both"/>
              <w:rPr>
                <w:sz w:val="22"/>
              </w:rPr>
            </w:pPr>
            <w:r w:rsidRPr="00265EF2">
              <w:rPr>
                <w:sz w:val="22"/>
              </w:rPr>
              <w:t>(3)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14:paraId="31E3FA39" w14:textId="77777777" w:rsidR="008E3EF9" w:rsidRPr="00265EF2" w:rsidRDefault="008E3EF9" w:rsidP="00265EF2">
            <w:pPr>
              <w:ind w:firstLine="567"/>
              <w:jc w:val="both"/>
              <w:rPr>
                <w:sz w:val="22"/>
              </w:rPr>
            </w:pPr>
            <w:r w:rsidRPr="00265EF2">
              <w:rPr>
                <w:sz w:val="22"/>
              </w:rPr>
              <w:t>(4) Ja koordinācijas institūcija ar Finanšu ministriju un valsts kapitāla daļu turētāju nevienojas par prognozējamo peļņas daļu, kas izmaksājama dividendēs, un dividendēs izmaksājamo peļņas daļu, valsts kapitāla daļu turētājs sagatavo un iesniedz rīkojuma projektu Ministru kabinetam, kas pieņem valsts kapitāla daļu turētājam saistošu lēmumu.</w:t>
            </w:r>
          </w:p>
          <w:p w14:paraId="6B8B88FB" w14:textId="5125708F" w:rsidR="008E3EF9" w:rsidRPr="00851702" w:rsidRDefault="008E3EF9" w:rsidP="00620D2C">
            <w:pPr>
              <w:ind w:firstLine="567"/>
              <w:jc w:val="both"/>
              <w:rPr>
                <w:sz w:val="22"/>
              </w:rPr>
            </w:pPr>
            <w:r w:rsidRPr="00265EF2">
              <w:rPr>
                <w:sz w:val="22"/>
              </w:rPr>
              <w:t>(5) Lēmumu par dividendēs izmaksājamo peļņas daļu dalībnieku (akcionāru) sapulce pieņem pēc sabiedrības gada pārskata apstiprināšanas.</w:t>
            </w:r>
          </w:p>
        </w:tc>
        <w:tc>
          <w:tcPr>
            <w:tcW w:w="3969" w:type="dxa"/>
            <w:shd w:val="clear" w:color="auto" w:fill="auto"/>
          </w:tcPr>
          <w:p w14:paraId="6312F0C7" w14:textId="77777777" w:rsidR="008E3EF9" w:rsidRPr="00851702" w:rsidRDefault="008E3EF9" w:rsidP="00620D2C">
            <w:pPr>
              <w:numPr>
                <w:ilvl w:val="0"/>
                <w:numId w:val="4"/>
              </w:numPr>
              <w:ind w:firstLine="567"/>
              <w:jc w:val="both"/>
              <w:rPr>
                <w:b/>
                <w:sz w:val="22"/>
              </w:rPr>
            </w:pPr>
          </w:p>
        </w:tc>
        <w:tc>
          <w:tcPr>
            <w:tcW w:w="567" w:type="dxa"/>
          </w:tcPr>
          <w:p w14:paraId="5A92C214" w14:textId="77777777" w:rsidR="008E3EF9" w:rsidRPr="00DF1F38" w:rsidRDefault="008E3EF9" w:rsidP="00DF1F38">
            <w:pPr>
              <w:numPr>
                <w:ilvl w:val="0"/>
                <w:numId w:val="4"/>
              </w:numPr>
              <w:ind w:firstLine="0"/>
              <w:jc w:val="center"/>
              <w:rPr>
                <w:b/>
                <w:sz w:val="22"/>
              </w:rPr>
            </w:pPr>
          </w:p>
        </w:tc>
        <w:tc>
          <w:tcPr>
            <w:tcW w:w="3969" w:type="dxa"/>
          </w:tcPr>
          <w:p w14:paraId="40F986A4" w14:textId="2064EADC" w:rsidR="008E3EF9" w:rsidRPr="00851702" w:rsidRDefault="008E3EF9" w:rsidP="00620D2C">
            <w:pPr>
              <w:numPr>
                <w:ilvl w:val="0"/>
                <w:numId w:val="4"/>
              </w:numPr>
              <w:ind w:firstLine="567"/>
              <w:jc w:val="both"/>
              <w:rPr>
                <w:b/>
                <w:sz w:val="22"/>
              </w:rPr>
            </w:pPr>
          </w:p>
        </w:tc>
        <w:tc>
          <w:tcPr>
            <w:tcW w:w="1418" w:type="dxa"/>
          </w:tcPr>
          <w:p w14:paraId="7E4B4E23" w14:textId="77777777" w:rsidR="008E3EF9" w:rsidRPr="00851702" w:rsidRDefault="008E3EF9" w:rsidP="00620D2C">
            <w:pPr>
              <w:numPr>
                <w:ilvl w:val="0"/>
                <w:numId w:val="4"/>
              </w:numPr>
              <w:ind w:firstLine="567"/>
              <w:jc w:val="both"/>
              <w:rPr>
                <w:b/>
                <w:sz w:val="22"/>
              </w:rPr>
            </w:pPr>
          </w:p>
        </w:tc>
        <w:tc>
          <w:tcPr>
            <w:tcW w:w="1418" w:type="dxa"/>
          </w:tcPr>
          <w:p w14:paraId="0F2BD8C3" w14:textId="77777777" w:rsidR="008E3EF9" w:rsidRPr="00851702" w:rsidRDefault="008E3EF9" w:rsidP="00620D2C">
            <w:pPr>
              <w:numPr>
                <w:ilvl w:val="0"/>
                <w:numId w:val="4"/>
              </w:numPr>
              <w:ind w:firstLine="567"/>
              <w:jc w:val="both"/>
              <w:rPr>
                <w:b/>
                <w:sz w:val="22"/>
              </w:rPr>
            </w:pPr>
          </w:p>
        </w:tc>
      </w:tr>
      <w:tr w:rsidR="008E3EF9" w:rsidRPr="00851702" w14:paraId="5DC9B327" w14:textId="20277853" w:rsidTr="008E5F03">
        <w:tc>
          <w:tcPr>
            <w:tcW w:w="3969" w:type="dxa"/>
            <w:shd w:val="clear" w:color="auto" w:fill="auto"/>
          </w:tcPr>
          <w:p w14:paraId="2397C5F1" w14:textId="77777777" w:rsidR="008E3EF9" w:rsidRPr="00265EF2" w:rsidRDefault="008E3EF9" w:rsidP="00265EF2">
            <w:pPr>
              <w:ind w:firstLine="567"/>
              <w:jc w:val="both"/>
              <w:rPr>
                <w:sz w:val="22"/>
              </w:rPr>
            </w:pPr>
            <w:r w:rsidRPr="00265EF2">
              <w:rPr>
                <w:sz w:val="22"/>
              </w:rPr>
              <w:t xml:space="preserve">(6) Ministru kabinets atbilstoši šā panta nosacījumiem reglamentē kārtību, kādā valsts kapitālsabiedrībās un publiski privātajās kapitālsabiedrībās, kurās valsts ir dalībnieks (akcionārs), prognozējama peļņas daļa, kas izmaksājama dividendēs, kā arī valsts kapitāla daļu turētāja rīcību, izlietojot valsts kā dalībnieka (akcionāra) </w:t>
            </w:r>
            <w:r w:rsidRPr="00265EF2">
              <w:rPr>
                <w:sz w:val="22"/>
              </w:rPr>
              <w:lastRenderedPageBreak/>
              <w:t>tiesības lemt par dividendēs izmaksājamo peļņas daļu.</w:t>
            </w:r>
          </w:p>
          <w:p w14:paraId="1CCF0D3D" w14:textId="77777777" w:rsidR="008E3EF9" w:rsidRPr="00265EF2" w:rsidRDefault="008E3EF9" w:rsidP="00265EF2">
            <w:pPr>
              <w:ind w:firstLine="567"/>
              <w:jc w:val="both"/>
              <w:rPr>
                <w:b/>
                <w:bCs/>
                <w:sz w:val="22"/>
              </w:rPr>
            </w:pPr>
          </w:p>
        </w:tc>
        <w:tc>
          <w:tcPr>
            <w:tcW w:w="3969" w:type="dxa"/>
            <w:shd w:val="clear" w:color="auto" w:fill="auto"/>
          </w:tcPr>
          <w:p w14:paraId="49833952" w14:textId="77777777" w:rsidR="008E3EF9" w:rsidRPr="00265EF2" w:rsidRDefault="008E3EF9" w:rsidP="00265EF2">
            <w:pPr>
              <w:ind w:firstLine="567"/>
              <w:jc w:val="both"/>
              <w:rPr>
                <w:sz w:val="22"/>
              </w:rPr>
            </w:pPr>
            <w:r w:rsidRPr="00265EF2">
              <w:rPr>
                <w:sz w:val="22"/>
              </w:rPr>
              <w:lastRenderedPageBreak/>
              <w:t>izteikt sesto daļu šādā redakcijā:</w:t>
            </w:r>
          </w:p>
          <w:p w14:paraId="4E3B8E2A" w14:textId="1F379F70" w:rsidR="008E3EF9" w:rsidRPr="00265EF2" w:rsidRDefault="008E3EF9" w:rsidP="00620D2C">
            <w:pPr>
              <w:numPr>
                <w:ilvl w:val="0"/>
                <w:numId w:val="5"/>
              </w:numPr>
              <w:ind w:firstLine="567"/>
              <w:jc w:val="both"/>
              <w:rPr>
                <w:sz w:val="22"/>
              </w:rPr>
            </w:pPr>
            <w:r w:rsidRPr="00265EF2">
              <w:rPr>
                <w:sz w:val="22"/>
              </w:rPr>
              <w:t xml:space="preserve">"(6) Ministru kabinets atbilstoši šā panta nosacījumiem reglamentē kārtību, kādā valsts kapitālsabiedrībās, to atkarīgajās kapitālsabiedrībās un meitas sabiedrībās, publiskas personas kontrolētās kapitālsabiedrībās, publiski privātajās kapitālsabiedrībās, kurās valsts ir </w:t>
            </w:r>
            <w:r w:rsidRPr="00265EF2">
              <w:rPr>
                <w:sz w:val="22"/>
              </w:rPr>
              <w:lastRenderedPageBreak/>
              <w:t>dalībnieks (akcionārs), un to meitas sabiedrībās prognozējama un nosakāma peļņas daļa, kas izmaksājama dividendēs, valsts kapitāla daļu turētāja vai dalībnieka (akcionāra) rīcību, izlietojot dalībnieka (akcionāra) tiesības lemt par dividendēs izmaksājamo peļņas daļu, kārtību, kādā kapitālsabiedrība finanšu pārskatos atspoguļo sadalīto peļņu, kā arī kārtību, kādā tiek nodrošināta dividenžu maksājumu kontrole.";</w:t>
            </w:r>
          </w:p>
        </w:tc>
        <w:tc>
          <w:tcPr>
            <w:tcW w:w="567" w:type="dxa"/>
          </w:tcPr>
          <w:p w14:paraId="7E0729C8" w14:textId="77777777" w:rsidR="008E3EF9" w:rsidRPr="00DF1F38" w:rsidRDefault="008E3EF9" w:rsidP="00DF1F38">
            <w:pPr>
              <w:jc w:val="center"/>
              <w:rPr>
                <w:b/>
                <w:sz w:val="22"/>
              </w:rPr>
            </w:pPr>
          </w:p>
        </w:tc>
        <w:tc>
          <w:tcPr>
            <w:tcW w:w="3969" w:type="dxa"/>
          </w:tcPr>
          <w:p w14:paraId="3C73A144" w14:textId="4B2C5008" w:rsidR="008E3EF9" w:rsidRPr="00265EF2" w:rsidRDefault="008E3EF9" w:rsidP="00265EF2">
            <w:pPr>
              <w:ind w:firstLine="567"/>
              <w:jc w:val="both"/>
              <w:rPr>
                <w:sz w:val="22"/>
              </w:rPr>
            </w:pPr>
          </w:p>
        </w:tc>
        <w:tc>
          <w:tcPr>
            <w:tcW w:w="1418" w:type="dxa"/>
          </w:tcPr>
          <w:p w14:paraId="1AB7C1BD" w14:textId="77777777" w:rsidR="008E3EF9" w:rsidRPr="00265EF2" w:rsidRDefault="008E3EF9" w:rsidP="00265EF2">
            <w:pPr>
              <w:ind w:firstLine="567"/>
              <w:jc w:val="both"/>
              <w:rPr>
                <w:sz w:val="22"/>
              </w:rPr>
            </w:pPr>
          </w:p>
        </w:tc>
        <w:tc>
          <w:tcPr>
            <w:tcW w:w="1418" w:type="dxa"/>
          </w:tcPr>
          <w:p w14:paraId="253FC692" w14:textId="77777777" w:rsidR="008E3EF9" w:rsidRPr="00265EF2" w:rsidRDefault="008E3EF9" w:rsidP="00265EF2">
            <w:pPr>
              <w:ind w:firstLine="567"/>
              <w:jc w:val="both"/>
              <w:rPr>
                <w:sz w:val="22"/>
              </w:rPr>
            </w:pPr>
          </w:p>
        </w:tc>
      </w:tr>
      <w:tr w:rsidR="008E3EF9" w:rsidRPr="00851702" w14:paraId="70005E5B" w14:textId="1AB18E48" w:rsidTr="008E5F03">
        <w:tc>
          <w:tcPr>
            <w:tcW w:w="3969" w:type="dxa"/>
            <w:shd w:val="clear" w:color="auto" w:fill="auto"/>
          </w:tcPr>
          <w:p w14:paraId="0DB32343" w14:textId="77777777" w:rsidR="008E3EF9" w:rsidRPr="00265EF2" w:rsidRDefault="008E3EF9" w:rsidP="00265EF2">
            <w:pPr>
              <w:ind w:firstLine="567"/>
              <w:jc w:val="both"/>
              <w:rPr>
                <w:sz w:val="22"/>
              </w:rPr>
            </w:pPr>
          </w:p>
        </w:tc>
        <w:tc>
          <w:tcPr>
            <w:tcW w:w="3969" w:type="dxa"/>
            <w:shd w:val="clear" w:color="auto" w:fill="auto"/>
          </w:tcPr>
          <w:p w14:paraId="72E4B3CE" w14:textId="77777777" w:rsidR="008E3EF9" w:rsidRPr="00265EF2" w:rsidRDefault="008E3EF9" w:rsidP="00265EF2">
            <w:pPr>
              <w:ind w:firstLine="567"/>
              <w:jc w:val="both"/>
              <w:rPr>
                <w:sz w:val="22"/>
              </w:rPr>
            </w:pPr>
            <w:r w:rsidRPr="00265EF2">
              <w:rPr>
                <w:sz w:val="22"/>
              </w:rPr>
              <w:t>papildināt pantu ar septīto daļu šādā redakcijā:</w:t>
            </w:r>
          </w:p>
          <w:p w14:paraId="2C5C67A1" w14:textId="0F1C06F0" w:rsidR="008E3EF9" w:rsidRPr="00265EF2" w:rsidRDefault="008E3EF9" w:rsidP="00620D2C">
            <w:pPr>
              <w:numPr>
                <w:ilvl w:val="0"/>
                <w:numId w:val="6"/>
              </w:numPr>
              <w:ind w:firstLine="567"/>
              <w:jc w:val="both"/>
              <w:rPr>
                <w:sz w:val="22"/>
              </w:rPr>
            </w:pPr>
            <w:r w:rsidRPr="00265EF2">
              <w:rPr>
                <w:sz w:val="22"/>
              </w:rPr>
              <w:t>"(7) Kapitālsabiedrība uzņēmumu ienākuma nodokli aprēķina, maksā un atspoguļo grāmatvedībā uzņēmumu ienākuma nodokli regulējošos normatīvajos aktos noteiktajā kārtībā."</w:t>
            </w:r>
          </w:p>
        </w:tc>
        <w:tc>
          <w:tcPr>
            <w:tcW w:w="567" w:type="dxa"/>
          </w:tcPr>
          <w:p w14:paraId="2B001AD1" w14:textId="77777777" w:rsidR="008E3EF9" w:rsidRPr="00DF1F38" w:rsidRDefault="008E3EF9" w:rsidP="00DF1F38">
            <w:pPr>
              <w:jc w:val="center"/>
              <w:rPr>
                <w:b/>
                <w:sz w:val="22"/>
              </w:rPr>
            </w:pPr>
          </w:p>
        </w:tc>
        <w:tc>
          <w:tcPr>
            <w:tcW w:w="3969" w:type="dxa"/>
          </w:tcPr>
          <w:p w14:paraId="524969AB" w14:textId="73DAC68E" w:rsidR="008E3EF9" w:rsidRPr="00265EF2" w:rsidRDefault="008E3EF9" w:rsidP="00265EF2">
            <w:pPr>
              <w:ind w:firstLine="567"/>
              <w:jc w:val="both"/>
              <w:rPr>
                <w:sz w:val="22"/>
              </w:rPr>
            </w:pPr>
          </w:p>
        </w:tc>
        <w:tc>
          <w:tcPr>
            <w:tcW w:w="1418" w:type="dxa"/>
          </w:tcPr>
          <w:p w14:paraId="36BFB7ED" w14:textId="77777777" w:rsidR="008E3EF9" w:rsidRPr="00265EF2" w:rsidRDefault="008E3EF9" w:rsidP="00265EF2">
            <w:pPr>
              <w:ind w:firstLine="567"/>
              <w:jc w:val="both"/>
              <w:rPr>
                <w:sz w:val="22"/>
              </w:rPr>
            </w:pPr>
          </w:p>
        </w:tc>
        <w:tc>
          <w:tcPr>
            <w:tcW w:w="1418" w:type="dxa"/>
          </w:tcPr>
          <w:p w14:paraId="28AC1F53" w14:textId="77777777" w:rsidR="008E3EF9" w:rsidRPr="00265EF2" w:rsidRDefault="008E3EF9" w:rsidP="00265EF2">
            <w:pPr>
              <w:ind w:firstLine="567"/>
              <w:jc w:val="both"/>
              <w:rPr>
                <w:sz w:val="22"/>
              </w:rPr>
            </w:pPr>
          </w:p>
        </w:tc>
      </w:tr>
      <w:tr w:rsidR="008E3EF9" w:rsidRPr="00851702" w14:paraId="2FF6A178" w14:textId="6E3A6B59" w:rsidTr="008E5F03">
        <w:tc>
          <w:tcPr>
            <w:tcW w:w="3969" w:type="dxa"/>
            <w:shd w:val="clear" w:color="auto" w:fill="auto"/>
          </w:tcPr>
          <w:p w14:paraId="3DF5D3DD" w14:textId="73DE4994" w:rsidR="008E3EF9" w:rsidRPr="00AA41F7" w:rsidRDefault="008E3EF9" w:rsidP="00851702">
            <w:pPr>
              <w:ind w:firstLine="567"/>
              <w:jc w:val="both"/>
              <w:rPr>
                <w:b/>
                <w:sz w:val="22"/>
              </w:rPr>
            </w:pPr>
            <w:r w:rsidRPr="00AA41F7">
              <w:rPr>
                <w:b/>
                <w:sz w:val="22"/>
              </w:rPr>
              <w:t>Pārejas noteikumi</w:t>
            </w:r>
          </w:p>
          <w:p w14:paraId="7D5DB429" w14:textId="2C433931" w:rsidR="008E3EF9" w:rsidRPr="00851702" w:rsidRDefault="008E3EF9" w:rsidP="00851702">
            <w:pPr>
              <w:ind w:firstLine="567"/>
              <w:jc w:val="both"/>
              <w:rPr>
                <w:sz w:val="22"/>
              </w:rPr>
            </w:pPr>
            <w:r w:rsidRPr="00620D2C">
              <w:rPr>
                <w:sz w:val="22"/>
              </w:rPr>
              <w:t>31. Šā likuma grozījumi par 31. panta ceturtās daļas 2. punkta un 37. panta ceturtās daļas 2. punkta izteikšanu jaunā redakcijā stājas spēkā 2021. gada 1. jūnijā.</w:t>
            </w:r>
          </w:p>
        </w:tc>
        <w:tc>
          <w:tcPr>
            <w:tcW w:w="3969" w:type="dxa"/>
            <w:shd w:val="clear" w:color="auto" w:fill="auto"/>
          </w:tcPr>
          <w:p w14:paraId="2CC534FA" w14:textId="77777777" w:rsidR="008E3EF9" w:rsidRPr="00DF1F38" w:rsidRDefault="008E3EF9" w:rsidP="00096E2C">
            <w:pPr>
              <w:ind w:firstLine="567"/>
              <w:jc w:val="both"/>
              <w:rPr>
                <w:sz w:val="22"/>
                <w:u w:val="single"/>
              </w:rPr>
            </w:pPr>
            <w:r w:rsidRPr="00DF1F38">
              <w:rPr>
                <w:sz w:val="22"/>
                <w:u w:val="single"/>
              </w:rPr>
              <w:t>2. Papildināt pārejas noteikumus ar 32. un 33. punktu šādā redakcijā:</w:t>
            </w:r>
          </w:p>
          <w:p w14:paraId="2083FA7F" w14:textId="5AB6AAD9" w:rsidR="008E3EF9" w:rsidRPr="00DF1F38" w:rsidRDefault="008E3EF9" w:rsidP="00096E2C">
            <w:pPr>
              <w:ind w:firstLine="567"/>
              <w:jc w:val="both"/>
              <w:rPr>
                <w:sz w:val="22"/>
                <w:u w:val="single"/>
              </w:rPr>
            </w:pPr>
            <w:r w:rsidRPr="00DF1F38">
              <w:rPr>
                <w:sz w:val="22"/>
                <w:u w:val="single"/>
              </w:rPr>
              <w:t> "32. Ministru kabinets līdz 2022. gada 1. aprīlim izdod šā likuma 28. panta sestajā daļā minētos noteikumus. </w:t>
            </w:r>
          </w:p>
          <w:p w14:paraId="0ED5825B" w14:textId="0B54C75C" w:rsidR="008E3EF9" w:rsidRPr="00265EF2" w:rsidRDefault="008E3EF9" w:rsidP="00620D2C">
            <w:pPr>
              <w:numPr>
                <w:ilvl w:val="0"/>
                <w:numId w:val="7"/>
              </w:numPr>
              <w:jc w:val="both"/>
              <w:rPr>
                <w:sz w:val="22"/>
              </w:rPr>
            </w:pPr>
            <w:r w:rsidRPr="00DF1F38">
              <w:rPr>
                <w:sz w:val="22"/>
                <w:u w:val="single"/>
              </w:rPr>
              <w:t>33. Līdz šā likuma 28. panta sestajā daļā minēto Ministru kabineta noteikumu spēkā stāšanās dienai, bet ne ilgāk kā līdz 2022. gada 1. aprīlim ir spēkā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 ciktāl tie nav pretrunā ar šo likumu."</w:t>
            </w:r>
          </w:p>
        </w:tc>
        <w:tc>
          <w:tcPr>
            <w:tcW w:w="567" w:type="dxa"/>
          </w:tcPr>
          <w:p w14:paraId="4168E1B5" w14:textId="1061186D" w:rsidR="008E3EF9" w:rsidRPr="00DF1F38" w:rsidRDefault="00DF1F38" w:rsidP="00DF1F38">
            <w:pPr>
              <w:jc w:val="center"/>
              <w:rPr>
                <w:b/>
                <w:sz w:val="22"/>
              </w:rPr>
            </w:pPr>
            <w:r w:rsidRPr="00DF1F38">
              <w:rPr>
                <w:b/>
                <w:sz w:val="22"/>
              </w:rPr>
              <w:t>1</w:t>
            </w:r>
          </w:p>
        </w:tc>
        <w:tc>
          <w:tcPr>
            <w:tcW w:w="3969" w:type="dxa"/>
          </w:tcPr>
          <w:p w14:paraId="10093D66" w14:textId="53567487" w:rsidR="00DF1F38" w:rsidRPr="00DF1F38" w:rsidRDefault="00DF1F38" w:rsidP="00096E2C">
            <w:pPr>
              <w:ind w:firstLine="567"/>
              <w:jc w:val="both"/>
              <w:rPr>
                <w:b/>
                <w:sz w:val="22"/>
                <w:u w:val="single"/>
              </w:rPr>
            </w:pPr>
            <w:r w:rsidRPr="00DF1F38">
              <w:rPr>
                <w:b/>
                <w:sz w:val="22"/>
                <w:u w:val="single"/>
              </w:rPr>
              <w:t>Juridiskais birojs</w:t>
            </w:r>
          </w:p>
          <w:p w14:paraId="51E5A513" w14:textId="09C97139" w:rsidR="008E3EF9" w:rsidRPr="00265EF2" w:rsidRDefault="00DF1F38" w:rsidP="00096E2C">
            <w:pPr>
              <w:ind w:firstLine="567"/>
              <w:jc w:val="both"/>
              <w:rPr>
                <w:sz w:val="22"/>
              </w:rPr>
            </w:pPr>
            <w:r w:rsidRPr="00DF1F38">
              <w:rPr>
                <w:sz w:val="22"/>
              </w:rPr>
              <w:t>Izslēgt likumprojekta 2. pantu (par pārejas noteikumu papildināšanu ar 32. un 33. punktu).</w:t>
            </w:r>
          </w:p>
        </w:tc>
        <w:tc>
          <w:tcPr>
            <w:tcW w:w="1418" w:type="dxa"/>
          </w:tcPr>
          <w:p w14:paraId="059D91FB" w14:textId="77777777" w:rsidR="00DF36FC" w:rsidRDefault="00DF36FC" w:rsidP="00DF36FC">
            <w:pPr>
              <w:jc w:val="both"/>
              <w:rPr>
                <w:sz w:val="22"/>
              </w:rPr>
            </w:pPr>
          </w:p>
          <w:p w14:paraId="36B13DB3" w14:textId="183D6021" w:rsidR="008E3EF9" w:rsidRPr="00265EF2" w:rsidRDefault="00DF36FC" w:rsidP="00DF36FC">
            <w:pPr>
              <w:jc w:val="both"/>
              <w:rPr>
                <w:sz w:val="22"/>
              </w:rPr>
            </w:pPr>
            <w:r>
              <w:rPr>
                <w:sz w:val="22"/>
              </w:rPr>
              <w:t>Neatbalstīt</w:t>
            </w:r>
          </w:p>
        </w:tc>
        <w:tc>
          <w:tcPr>
            <w:tcW w:w="1418" w:type="dxa"/>
          </w:tcPr>
          <w:p w14:paraId="52351803" w14:textId="77777777" w:rsidR="008E3EF9" w:rsidRPr="00265EF2" w:rsidRDefault="008E3EF9" w:rsidP="00096E2C">
            <w:pPr>
              <w:ind w:firstLine="567"/>
              <w:jc w:val="both"/>
              <w:rPr>
                <w:sz w:val="22"/>
              </w:rPr>
            </w:pPr>
          </w:p>
        </w:tc>
      </w:tr>
      <w:tr w:rsidR="008E3EF9" w:rsidRPr="00851702" w14:paraId="472970B1" w14:textId="59E70D78" w:rsidTr="008E5F03">
        <w:tc>
          <w:tcPr>
            <w:tcW w:w="3969" w:type="dxa"/>
            <w:shd w:val="clear" w:color="auto" w:fill="auto"/>
          </w:tcPr>
          <w:p w14:paraId="5D32E41A" w14:textId="77777777" w:rsidR="008E3EF9" w:rsidRPr="00851702" w:rsidRDefault="008E3EF9" w:rsidP="00851702">
            <w:pPr>
              <w:ind w:firstLine="567"/>
              <w:jc w:val="both"/>
              <w:rPr>
                <w:sz w:val="22"/>
              </w:rPr>
            </w:pPr>
          </w:p>
        </w:tc>
        <w:tc>
          <w:tcPr>
            <w:tcW w:w="3969" w:type="dxa"/>
            <w:shd w:val="clear" w:color="auto" w:fill="auto"/>
          </w:tcPr>
          <w:p w14:paraId="1E903243" w14:textId="77777777" w:rsidR="008E3EF9" w:rsidRPr="00265EF2" w:rsidRDefault="008E3EF9" w:rsidP="00265EF2">
            <w:pPr>
              <w:ind w:firstLine="567"/>
              <w:jc w:val="both"/>
              <w:rPr>
                <w:sz w:val="22"/>
              </w:rPr>
            </w:pPr>
            <w:r w:rsidRPr="00265EF2">
              <w:rPr>
                <w:sz w:val="22"/>
              </w:rPr>
              <w:t>Likums stājas spēkā 2022. gada 1. janvārī.</w:t>
            </w:r>
          </w:p>
          <w:p w14:paraId="04658EF1" w14:textId="77777777" w:rsidR="008E3EF9" w:rsidRPr="00851702" w:rsidRDefault="008E3EF9" w:rsidP="005012EB">
            <w:pPr>
              <w:jc w:val="center"/>
              <w:rPr>
                <w:b/>
                <w:sz w:val="22"/>
              </w:rPr>
            </w:pPr>
          </w:p>
        </w:tc>
        <w:tc>
          <w:tcPr>
            <w:tcW w:w="567" w:type="dxa"/>
          </w:tcPr>
          <w:p w14:paraId="1081F1FB" w14:textId="32D60489" w:rsidR="008E3EF9" w:rsidRPr="00DF1F38" w:rsidRDefault="00DF1F38" w:rsidP="00DF1F38">
            <w:pPr>
              <w:jc w:val="center"/>
              <w:rPr>
                <w:b/>
                <w:sz w:val="22"/>
              </w:rPr>
            </w:pPr>
            <w:r>
              <w:rPr>
                <w:b/>
                <w:sz w:val="22"/>
              </w:rPr>
              <w:t>2</w:t>
            </w:r>
          </w:p>
        </w:tc>
        <w:tc>
          <w:tcPr>
            <w:tcW w:w="3969" w:type="dxa"/>
          </w:tcPr>
          <w:p w14:paraId="1E5EF846" w14:textId="77777777" w:rsidR="00DF1F38" w:rsidRPr="00DF1F38" w:rsidRDefault="00DF1F38" w:rsidP="00DF1F38">
            <w:pPr>
              <w:ind w:firstLine="567"/>
              <w:jc w:val="both"/>
              <w:rPr>
                <w:b/>
                <w:sz w:val="22"/>
                <w:u w:val="single"/>
              </w:rPr>
            </w:pPr>
            <w:r w:rsidRPr="00DF1F38">
              <w:rPr>
                <w:b/>
                <w:sz w:val="22"/>
                <w:u w:val="single"/>
              </w:rPr>
              <w:t>Juridiskais birojs</w:t>
            </w:r>
          </w:p>
          <w:p w14:paraId="5CD3FF84" w14:textId="77777777" w:rsidR="00DF1F38" w:rsidRPr="00DF1F38" w:rsidRDefault="00DF1F38" w:rsidP="00DF1F38">
            <w:pPr>
              <w:ind w:firstLine="567"/>
              <w:jc w:val="both"/>
              <w:rPr>
                <w:sz w:val="22"/>
              </w:rPr>
            </w:pPr>
            <w:r w:rsidRPr="00DF1F38">
              <w:rPr>
                <w:sz w:val="22"/>
              </w:rPr>
              <w:t>Ierosinām izvērtēt, vai nebūtu precizējams (nosakāms tālāks) likuma spēkā stāšanās datums.</w:t>
            </w:r>
          </w:p>
          <w:p w14:paraId="392EAD43" w14:textId="6FA7B970" w:rsidR="008E3EF9" w:rsidRPr="00265EF2" w:rsidRDefault="008E3EF9" w:rsidP="00265EF2">
            <w:pPr>
              <w:ind w:firstLine="567"/>
              <w:jc w:val="both"/>
              <w:rPr>
                <w:sz w:val="22"/>
              </w:rPr>
            </w:pPr>
          </w:p>
        </w:tc>
        <w:tc>
          <w:tcPr>
            <w:tcW w:w="1418" w:type="dxa"/>
          </w:tcPr>
          <w:p w14:paraId="66CB8D8C" w14:textId="77777777" w:rsidR="008E3EF9" w:rsidRDefault="008E3EF9" w:rsidP="00DF36FC">
            <w:pPr>
              <w:ind w:hanging="114"/>
              <w:jc w:val="both"/>
              <w:rPr>
                <w:sz w:val="22"/>
              </w:rPr>
            </w:pPr>
          </w:p>
          <w:p w14:paraId="2A00FAF1" w14:textId="00F76E65" w:rsidR="00DF36FC" w:rsidRPr="00265EF2" w:rsidRDefault="00DF36FC" w:rsidP="00DF36FC">
            <w:pPr>
              <w:jc w:val="both"/>
              <w:rPr>
                <w:sz w:val="22"/>
              </w:rPr>
            </w:pPr>
            <w:r>
              <w:rPr>
                <w:sz w:val="22"/>
              </w:rPr>
              <w:t>Neatbalstīt</w:t>
            </w:r>
          </w:p>
        </w:tc>
        <w:tc>
          <w:tcPr>
            <w:tcW w:w="1418" w:type="dxa"/>
          </w:tcPr>
          <w:p w14:paraId="0FFCA165" w14:textId="77777777" w:rsidR="008E3EF9" w:rsidRPr="00265EF2" w:rsidRDefault="008E3EF9" w:rsidP="00265EF2">
            <w:pPr>
              <w:ind w:firstLine="567"/>
              <w:jc w:val="both"/>
              <w:rPr>
                <w:sz w:val="22"/>
              </w:rPr>
            </w:pPr>
          </w:p>
        </w:tc>
      </w:tr>
    </w:tbl>
    <w:p w14:paraId="32DEE3F4" w14:textId="77777777" w:rsidR="00A400CF" w:rsidRDefault="00A400CF" w:rsidP="008E5F03"/>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B57B" w14:textId="77777777" w:rsidR="00E3490F" w:rsidRDefault="00E3490F">
      <w:r>
        <w:separator/>
      </w:r>
    </w:p>
  </w:endnote>
  <w:endnote w:type="continuationSeparator" w:id="0">
    <w:p w14:paraId="4E376EC5" w14:textId="77777777" w:rsidR="00E3490F" w:rsidRDefault="00E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E3F9" w14:textId="77777777"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EE3FA" w14:textId="77777777" w:rsidR="00511D34" w:rsidRDefault="00E3490F"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E3FB" w14:textId="48FC11FE"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F38">
      <w:rPr>
        <w:rStyle w:val="PageNumber"/>
        <w:noProof/>
      </w:rPr>
      <w:t>4</w:t>
    </w:r>
    <w:r>
      <w:rPr>
        <w:rStyle w:val="PageNumber"/>
      </w:rPr>
      <w:fldChar w:fldCharType="end"/>
    </w:r>
  </w:p>
  <w:p w14:paraId="32DEE3FC" w14:textId="77777777" w:rsidR="00511D34" w:rsidRDefault="00E3490F"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95AA" w14:textId="77777777" w:rsidR="00E3490F" w:rsidRDefault="00E3490F">
      <w:r>
        <w:separator/>
      </w:r>
    </w:p>
  </w:footnote>
  <w:footnote w:type="continuationSeparator" w:id="0">
    <w:p w14:paraId="5472DAEB" w14:textId="77777777" w:rsidR="00E3490F" w:rsidRDefault="00E3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C7A0A"/>
    <w:multiLevelType w:val="hybridMultilevel"/>
    <w:tmpl w:val="2DCEA2C6"/>
    <w:lvl w:ilvl="0" w:tplc="082AB598">
      <w:start w:val="1"/>
      <w:numFmt w:val="bullet"/>
      <w:lvlRestart w:val="0"/>
      <w:lvlText w:val=""/>
      <w:lvlJc w:val="left"/>
      <w:pPr>
        <w:ind w:left="0" w:firstLine="705"/>
      </w:pPr>
      <w:rPr>
        <w:u w:val="none"/>
      </w:rPr>
    </w:lvl>
    <w:lvl w:ilvl="1" w:tplc="409E7D36">
      <w:numFmt w:val="decimal"/>
      <w:lvlText w:val=""/>
      <w:lvlJc w:val="left"/>
    </w:lvl>
    <w:lvl w:ilvl="2" w:tplc="F59CEBAE">
      <w:numFmt w:val="decimal"/>
      <w:lvlText w:val=""/>
      <w:lvlJc w:val="left"/>
    </w:lvl>
    <w:lvl w:ilvl="3" w:tplc="2222F006">
      <w:numFmt w:val="decimal"/>
      <w:lvlText w:val=""/>
      <w:lvlJc w:val="left"/>
    </w:lvl>
    <w:lvl w:ilvl="4" w:tplc="B0A2A76E">
      <w:numFmt w:val="decimal"/>
      <w:lvlText w:val=""/>
      <w:lvlJc w:val="left"/>
    </w:lvl>
    <w:lvl w:ilvl="5" w:tplc="978EB66E">
      <w:numFmt w:val="decimal"/>
      <w:lvlText w:val=""/>
      <w:lvlJc w:val="left"/>
    </w:lvl>
    <w:lvl w:ilvl="6" w:tplc="4AF85F5C">
      <w:numFmt w:val="decimal"/>
      <w:lvlText w:val=""/>
      <w:lvlJc w:val="left"/>
    </w:lvl>
    <w:lvl w:ilvl="7" w:tplc="CD32906A">
      <w:numFmt w:val="decimal"/>
      <w:lvlText w:val=""/>
      <w:lvlJc w:val="left"/>
    </w:lvl>
    <w:lvl w:ilvl="8" w:tplc="D764D4C2">
      <w:numFmt w:val="decimal"/>
      <w:lvlText w:val=""/>
      <w:lvlJc w:val="left"/>
    </w:lvl>
  </w:abstractNum>
  <w:abstractNum w:abstractNumId="1" w15:restartNumberingAfterBreak="0">
    <w:nsid w:val="46626BD8"/>
    <w:multiLevelType w:val="hybridMultilevel"/>
    <w:tmpl w:val="2946B47C"/>
    <w:lvl w:ilvl="0" w:tplc="AEFA4C7C">
      <w:start w:val="1"/>
      <w:numFmt w:val="bullet"/>
      <w:lvlRestart w:val="0"/>
      <w:lvlText w:val=""/>
      <w:lvlJc w:val="left"/>
      <w:pPr>
        <w:ind w:left="0" w:firstLine="705"/>
      </w:pPr>
      <w:rPr>
        <w:u w:val="none"/>
      </w:rPr>
    </w:lvl>
    <w:lvl w:ilvl="1" w:tplc="84205A64">
      <w:numFmt w:val="decimal"/>
      <w:lvlText w:val=""/>
      <w:lvlJc w:val="left"/>
    </w:lvl>
    <w:lvl w:ilvl="2" w:tplc="44D634F4">
      <w:numFmt w:val="decimal"/>
      <w:lvlText w:val=""/>
      <w:lvlJc w:val="left"/>
    </w:lvl>
    <w:lvl w:ilvl="3" w:tplc="F162E59C">
      <w:numFmt w:val="decimal"/>
      <w:lvlText w:val=""/>
      <w:lvlJc w:val="left"/>
    </w:lvl>
    <w:lvl w:ilvl="4" w:tplc="4A702C54">
      <w:numFmt w:val="decimal"/>
      <w:lvlText w:val=""/>
      <w:lvlJc w:val="left"/>
    </w:lvl>
    <w:lvl w:ilvl="5" w:tplc="E6B2E6B4">
      <w:numFmt w:val="decimal"/>
      <w:lvlText w:val=""/>
      <w:lvlJc w:val="left"/>
    </w:lvl>
    <w:lvl w:ilvl="6" w:tplc="43F4679E">
      <w:numFmt w:val="decimal"/>
      <w:lvlText w:val=""/>
      <w:lvlJc w:val="left"/>
    </w:lvl>
    <w:lvl w:ilvl="7" w:tplc="B5BED236">
      <w:numFmt w:val="decimal"/>
      <w:lvlText w:val=""/>
      <w:lvlJc w:val="left"/>
    </w:lvl>
    <w:lvl w:ilvl="8" w:tplc="E4AC57A4">
      <w:numFmt w:val="decimal"/>
      <w:lvlText w:val=""/>
      <w:lvlJc w:val="left"/>
    </w:lvl>
  </w:abstractNum>
  <w:abstractNum w:abstractNumId="2" w15:restartNumberingAfterBreak="0">
    <w:nsid w:val="5FA2053A"/>
    <w:multiLevelType w:val="hybridMultilevel"/>
    <w:tmpl w:val="66F68A9C"/>
    <w:lvl w:ilvl="0" w:tplc="1108AD98">
      <w:start w:val="1"/>
      <w:numFmt w:val="bullet"/>
      <w:lvlRestart w:val="0"/>
      <w:lvlText w:val=""/>
      <w:lvlJc w:val="left"/>
      <w:pPr>
        <w:ind w:left="0" w:firstLine="705"/>
      </w:pPr>
      <w:rPr>
        <w:u w:val="none"/>
      </w:rPr>
    </w:lvl>
    <w:lvl w:ilvl="1" w:tplc="10DE68BC">
      <w:numFmt w:val="decimal"/>
      <w:lvlText w:val=""/>
      <w:lvlJc w:val="left"/>
    </w:lvl>
    <w:lvl w:ilvl="2" w:tplc="906261B4">
      <w:numFmt w:val="decimal"/>
      <w:lvlText w:val=""/>
      <w:lvlJc w:val="left"/>
    </w:lvl>
    <w:lvl w:ilvl="3" w:tplc="CADCE14A">
      <w:numFmt w:val="decimal"/>
      <w:lvlText w:val=""/>
      <w:lvlJc w:val="left"/>
    </w:lvl>
    <w:lvl w:ilvl="4" w:tplc="55B8085E">
      <w:numFmt w:val="decimal"/>
      <w:lvlText w:val=""/>
      <w:lvlJc w:val="left"/>
    </w:lvl>
    <w:lvl w:ilvl="5" w:tplc="7C64A6CE">
      <w:numFmt w:val="decimal"/>
      <w:lvlText w:val=""/>
      <w:lvlJc w:val="left"/>
    </w:lvl>
    <w:lvl w:ilvl="6" w:tplc="A03CC218">
      <w:numFmt w:val="decimal"/>
      <w:lvlText w:val=""/>
      <w:lvlJc w:val="left"/>
    </w:lvl>
    <w:lvl w:ilvl="7" w:tplc="9D2E6146">
      <w:numFmt w:val="decimal"/>
      <w:lvlText w:val=""/>
      <w:lvlJc w:val="left"/>
    </w:lvl>
    <w:lvl w:ilvl="8" w:tplc="2E805904">
      <w:numFmt w:val="decimal"/>
      <w:lvlText w:val=""/>
      <w:lvlJc w:val="left"/>
    </w:lvl>
  </w:abstractNum>
  <w:abstractNum w:abstractNumId="3" w15:restartNumberingAfterBreak="0">
    <w:nsid w:val="6335301C"/>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C7A630C"/>
    <w:multiLevelType w:val="hybridMultilevel"/>
    <w:tmpl w:val="2702D2B6"/>
    <w:lvl w:ilvl="0" w:tplc="1722F5AE">
      <w:start w:val="1"/>
      <w:numFmt w:val="bullet"/>
      <w:lvlRestart w:val="0"/>
      <w:lvlText w:val=""/>
      <w:lvlJc w:val="left"/>
      <w:pPr>
        <w:ind w:left="0" w:firstLine="705"/>
      </w:pPr>
      <w:rPr>
        <w:u w:val="none"/>
      </w:rPr>
    </w:lvl>
    <w:lvl w:ilvl="1" w:tplc="BE80AADE">
      <w:numFmt w:val="decimal"/>
      <w:lvlText w:val=""/>
      <w:lvlJc w:val="left"/>
    </w:lvl>
    <w:lvl w:ilvl="2" w:tplc="BC7A4CFE">
      <w:numFmt w:val="decimal"/>
      <w:lvlText w:val=""/>
      <w:lvlJc w:val="left"/>
    </w:lvl>
    <w:lvl w:ilvl="3" w:tplc="2F5431DA">
      <w:numFmt w:val="decimal"/>
      <w:lvlText w:val=""/>
      <w:lvlJc w:val="left"/>
    </w:lvl>
    <w:lvl w:ilvl="4" w:tplc="017661D4">
      <w:numFmt w:val="decimal"/>
      <w:lvlText w:val=""/>
      <w:lvlJc w:val="left"/>
    </w:lvl>
    <w:lvl w:ilvl="5" w:tplc="75908E48">
      <w:numFmt w:val="decimal"/>
      <w:lvlText w:val=""/>
      <w:lvlJc w:val="left"/>
    </w:lvl>
    <w:lvl w:ilvl="6" w:tplc="E8C0A5BA">
      <w:numFmt w:val="decimal"/>
      <w:lvlText w:val=""/>
      <w:lvlJc w:val="left"/>
    </w:lvl>
    <w:lvl w:ilvl="7" w:tplc="40542362">
      <w:numFmt w:val="decimal"/>
      <w:lvlText w:val=""/>
      <w:lvlJc w:val="left"/>
    </w:lvl>
    <w:lvl w:ilvl="8" w:tplc="E9D0894C">
      <w:numFmt w:val="decimal"/>
      <w:lvlText w:val=""/>
      <w:lvlJc w:val="left"/>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1104C4"/>
    <w:multiLevelType w:val="hybridMultilevel"/>
    <w:tmpl w:val="A02E7494"/>
    <w:lvl w:ilvl="0" w:tplc="0BB8F8DC">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16"/>
    <w:rsid w:val="00000209"/>
    <w:rsid w:val="00006192"/>
    <w:rsid w:val="00011E6B"/>
    <w:rsid w:val="00020F85"/>
    <w:rsid w:val="000426CA"/>
    <w:rsid w:val="00046CB8"/>
    <w:rsid w:val="00052EAB"/>
    <w:rsid w:val="00055329"/>
    <w:rsid w:val="00064EEB"/>
    <w:rsid w:val="000717D3"/>
    <w:rsid w:val="00072FA9"/>
    <w:rsid w:val="00074B12"/>
    <w:rsid w:val="000816DA"/>
    <w:rsid w:val="00096E2C"/>
    <w:rsid w:val="000A3BEA"/>
    <w:rsid w:val="000B107C"/>
    <w:rsid w:val="000B4129"/>
    <w:rsid w:val="000B5DFB"/>
    <w:rsid w:val="000D33FE"/>
    <w:rsid w:val="000E00C4"/>
    <w:rsid w:val="000E159B"/>
    <w:rsid w:val="000E2107"/>
    <w:rsid w:val="000E4D0C"/>
    <w:rsid w:val="000F7092"/>
    <w:rsid w:val="001008F0"/>
    <w:rsid w:val="00102F49"/>
    <w:rsid w:val="001179C1"/>
    <w:rsid w:val="00123F63"/>
    <w:rsid w:val="00132BC5"/>
    <w:rsid w:val="0013740E"/>
    <w:rsid w:val="001508A1"/>
    <w:rsid w:val="00155698"/>
    <w:rsid w:val="0015589F"/>
    <w:rsid w:val="0016168C"/>
    <w:rsid w:val="00183079"/>
    <w:rsid w:val="0019678E"/>
    <w:rsid w:val="0019735C"/>
    <w:rsid w:val="001A7561"/>
    <w:rsid w:val="001B4987"/>
    <w:rsid w:val="001E1C46"/>
    <w:rsid w:val="001E7B89"/>
    <w:rsid w:val="001F548E"/>
    <w:rsid w:val="001F5D02"/>
    <w:rsid w:val="0020092F"/>
    <w:rsid w:val="00210D53"/>
    <w:rsid w:val="0021151F"/>
    <w:rsid w:val="0022488C"/>
    <w:rsid w:val="002317A4"/>
    <w:rsid w:val="00233759"/>
    <w:rsid w:val="00265EF2"/>
    <w:rsid w:val="0027199F"/>
    <w:rsid w:val="0029588D"/>
    <w:rsid w:val="00296180"/>
    <w:rsid w:val="002A5C86"/>
    <w:rsid w:val="002B16C4"/>
    <w:rsid w:val="002C5F5C"/>
    <w:rsid w:val="002C76C3"/>
    <w:rsid w:val="002D05FD"/>
    <w:rsid w:val="002E317B"/>
    <w:rsid w:val="00303D58"/>
    <w:rsid w:val="0031044C"/>
    <w:rsid w:val="00317E4C"/>
    <w:rsid w:val="003446BF"/>
    <w:rsid w:val="00351037"/>
    <w:rsid w:val="003547D1"/>
    <w:rsid w:val="00356D43"/>
    <w:rsid w:val="003572D6"/>
    <w:rsid w:val="00361FF6"/>
    <w:rsid w:val="0036461C"/>
    <w:rsid w:val="00366B5C"/>
    <w:rsid w:val="00375203"/>
    <w:rsid w:val="00375471"/>
    <w:rsid w:val="00376DB7"/>
    <w:rsid w:val="00382399"/>
    <w:rsid w:val="00382F1D"/>
    <w:rsid w:val="00386D2A"/>
    <w:rsid w:val="003A0935"/>
    <w:rsid w:val="003A34B5"/>
    <w:rsid w:val="003A3FDF"/>
    <w:rsid w:val="003B1A5F"/>
    <w:rsid w:val="003B4F80"/>
    <w:rsid w:val="003C26D8"/>
    <w:rsid w:val="003D05F6"/>
    <w:rsid w:val="003D4D14"/>
    <w:rsid w:val="003E236C"/>
    <w:rsid w:val="003F13E9"/>
    <w:rsid w:val="003F248F"/>
    <w:rsid w:val="003F255F"/>
    <w:rsid w:val="003F30F6"/>
    <w:rsid w:val="003F375E"/>
    <w:rsid w:val="00400014"/>
    <w:rsid w:val="00400CE7"/>
    <w:rsid w:val="00405A5F"/>
    <w:rsid w:val="00413707"/>
    <w:rsid w:val="0041387C"/>
    <w:rsid w:val="004433B5"/>
    <w:rsid w:val="00443D42"/>
    <w:rsid w:val="00457779"/>
    <w:rsid w:val="00465888"/>
    <w:rsid w:val="004677A4"/>
    <w:rsid w:val="00467954"/>
    <w:rsid w:val="004743F5"/>
    <w:rsid w:val="0048560A"/>
    <w:rsid w:val="004B4F59"/>
    <w:rsid w:val="004C733D"/>
    <w:rsid w:val="004E1D36"/>
    <w:rsid w:val="004F08E0"/>
    <w:rsid w:val="004F4938"/>
    <w:rsid w:val="004F4FB6"/>
    <w:rsid w:val="004F7ABB"/>
    <w:rsid w:val="00504A68"/>
    <w:rsid w:val="00513F7B"/>
    <w:rsid w:val="0053133B"/>
    <w:rsid w:val="005374E5"/>
    <w:rsid w:val="00572523"/>
    <w:rsid w:val="005755D6"/>
    <w:rsid w:val="00576E16"/>
    <w:rsid w:val="005975E5"/>
    <w:rsid w:val="005A56B8"/>
    <w:rsid w:val="005B4453"/>
    <w:rsid w:val="005B4AE9"/>
    <w:rsid w:val="005D37BB"/>
    <w:rsid w:val="005E0126"/>
    <w:rsid w:val="005E1CB0"/>
    <w:rsid w:val="005E3343"/>
    <w:rsid w:val="005E54AA"/>
    <w:rsid w:val="00604032"/>
    <w:rsid w:val="00606DBE"/>
    <w:rsid w:val="0061617B"/>
    <w:rsid w:val="0061795F"/>
    <w:rsid w:val="00617B54"/>
    <w:rsid w:val="00620D2C"/>
    <w:rsid w:val="00626465"/>
    <w:rsid w:val="00632DD9"/>
    <w:rsid w:val="006356C8"/>
    <w:rsid w:val="006432DE"/>
    <w:rsid w:val="00653AA9"/>
    <w:rsid w:val="006619AD"/>
    <w:rsid w:val="006633D1"/>
    <w:rsid w:val="006636DF"/>
    <w:rsid w:val="00671932"/>
    <w:rsid w:val="00673591"/>
    <w:rsid w:val="00681536"/>
    <w:rsid w:val="00696369"/>
    <w:rsid w:val="006A2FCC"/>
    <w:rsid w:val="006B67DE"/>
    <w:rsid w:val="006B7EEA"/>
    <w:rsid w:val="006C0E36"/>
    <w:rsid w:val="006C7328"/>
    <w:rsid w:val="006E098F"/>
    <w:rsid w:val="00700753"/>
    <w:rsid w:val="00720428"/>
    <w:rsid w:val="00720B41"/>
    <w:rsid w:val="007332F2"/>
    <w:rsid w:val="00746C61"/>
    <w:rsid w:val="007529E6"/>
    <w:rsid w:val="00770F0C"/>
    <w:rsid w:val="00772DD6"/>
    <w:rsid w:val="00781EAD"/>
    <w:rsid w:val="007851E1"/>
    <w:rsid w:val="00786EC7"/>
    <w:rsid w:val="0078718D"/>
    <w:rsid w:val="0079145E"/>
    <w:rsid w:val="00793199"/>
    <w:rsid w:val="007A1AF4"/>
    <w:rsid w:val="007A340C"/>
    <w:rsid w:val="007A3FFC"/>
    <w:rsid w:val="007A59BC"/>
    <w:rsid w:val="007A699D"/>
    <w:rsid w:val="007A754A"/>
    <w:rsid w:val="007C4AB6"/>
    <w:rsid w:val="007D0FF4"/>
    <w:rsid w:val="007D2484"/>
    <w:rsid w:val="007E2C08"/>
    <w:rsid w:val="008145B9"/>
    <w:rsid w:val="00825529"/>
    <w:rsid w:val="008353AD"/>
    <w:rsid w:val="0084288E"/>
    <w:rsid w:val="00851702"/>
    <w:rsid w:val="008555DD"/>
    <w:rsid w:val="00855FEF"/>
    <w:rsid w:val="00870F8A"/>
    <w:rsid w:val="0087454D"/>
    <w:rsid w:val="00876AD8"/>
    <w:rsid w:val="008776DB"/>
    <w:rsid w:val="00883733"/>
    <w:rsid w:val="00883897"/>
    <w:rsid w:val="00884683"/>
    <w:rsid w:val="008954B7"/>
    <w:rsid w:val="008A2A30"/>
    <w:rsid w:val="008B41FB"/>
    <w:rsid w:val="008B6968"/>
    <w:rsid w:val="008C3CD9"/>
    <w:rsid w:val="008C4DF6"/>
    <w:rsid w:val="008D0FC9"/>
    <w:rsid w:val="008E3A44"/>
    <w:rsid w:val="008E3EF9"/>
    <w:rsid w:val="008E5F03"/>
    <w:rsid w:val="008F1D5F"/>
    <w:rsid w:val="008F244E"/>
    <w:rsid w:val="008F2D0D"/>
    <w:rsid w:val="008F6628"/>
    <w:rsid w:val="00903E38"/>
    <w:rsid w:val="009074E6"/>
    <w:rsid w:val="0093694D"/>
    <w:rsid w:val="00937B17"/>
    <w:rsid w:val="00940883"/>
    <w:rsid w:val="0094485C"/>
    <w:rsid w:val="0094696A"/>
    <w:rsid w:val="00953442"/>
    <w:rsid w:val="009558A2"/>
    <w:rsid w:val="009636A8"/>
    <w:rsid w:val="0096593E"/>
    <w:rsid w:val="0098171D"/>
    <w:rsid w:val="00982469"/>
    <w:rsid w:val="009A3D9C"/>
    <w:rsid w:val="009A52CF"/>
    <w:rsid w:val="009B08A6"/>
    <w:rsid w:val="009B0A7F"/>
    <w:rsid w:val="009B21A4"/>
    <w:rsid w:val="009B729D"/>
    <w:rsid w:val="009B7F3C"/>
    <w:rsid w:val="009C281E"/>
    <w:rsid w:val="009D0BAE"/>
    <w:rsid w:val="009D4684"/>
    <w:rsid w:val="009D7372"/>
    <w:rsid w:val="009E5BB4"/>
    <w:rsid w:val="009E626C"/>
    <w:rsid w:val="009E7CF0"/>
    <w:rsid w:val="009F1889"/>
    <w:rsid w:val="00A0560D"/>
    <w:rsid w:val="00A100C9"/>
    <w:rsid w:val="00A12DA1"/>
    <w:rsid w:val="00A169B5"/>
    <w:rsid w:val="00A400CF"/>
    <w:rsid w:val="00A41DCD"/>
    <w:rsid w:val="00A55C5F"/>
    <w:rsid w:val="00A655B9"/>
    <w:rsid w:val="00A759A7"/>
    <w:rsid w:val="00A801CC"/>
    <w:rsid w:val="00A95368"/>
    <w:rsid w:val="00AA01E7"/>
    <w:rsid w:val="00AA1600"/>
    <w:rsid w:val="00AA41F7"/>
    <w:rsid w:val="00AA7863"/>
    <w:rsid w:val="00AB1FE4"/>
    <w:rsid w:val="00AB3A14"/>
    <w:rsid w:val="00AB6261"/>
    <w:rsid w:val="00AD0025"/>
    <w:rsid w:val="00AE05F9"/>
    <w:rsid w:val="00B12903"/>
    <w:rsid w:val="00B14AB9"/>
    <w:rsid w:val="00B14E2C"/>
    <w:rsid w:val="00B33F56"/>
    <w:rsid w:val="00B6215C"/>
    <w:rsid w:val="00B6582A"/>
    <w:rsid w:val="00B712D1"/>
    <w:rsid w:val="00B7430C"/>
    <w:rsid w:val="00B74AE3"/>
    <w:rsid w:val="00B84EF7"/>
    <w:rsid w:val="00B86BB3"/>
    <w:rsid w:val="00B87376"/>
    <w:rsid w:val="00B9149D"/>
    <w:rsid w:val="00BA6772"/>
    <w:rsid w:val="00BC08DD"/>
    <w:rsid w:val="00BC28EA"/>
    <w:rsid w:val="00BC3C78"/>
    <w:rsid w:val="00BC6DFF"/>
    <w:rsid w:val="00BD0C66"/>
    <w:rsid w:val="00BD2CDF"/>
    <w:rsid w:val="00BE4D1F"/>
    <w:rsid w:val="00BF0203"/>
    <w:rsid w:val="00BF09C0"/>
    <w:rsid w:val="00BF1E57"/>
    <w:rsid w:val="00C004FC"/>
    <w:rsid w:val="00C115D0"/>
    <w:rsid w:val="00C127F1"/>
    <w:rsid w:val="00C17839"/>
    <w:rsid w:val="00C324B1"/>
    <w:rsid w:val="00C34CF9"/>
    <w:rsid w:val="00C55326"/>
    <w:rsid w:val="00C554EE"/>
    <w:rsid w:val="00C57F6E"/>
    <w:rsid w:val="00C62C71"/>
    <w:rsid w:val="00C74443"/>
    <w:rsid w:val="00C757AA"/>
    <w:rsid w:val="00C83BEB"/>
    <w:rsid w:val="00C868D3"/>
    <w:rsid w:val="00CA5347"/>
    <w:rsid w:val="00CB1DC1"/>
    <w:rsid w:val="00CB5CE2"/>
    <w:rsid w:val="00CC171F"/>
    <w:rsid w:val="00CD32BD"/>
    <w:rsid w:val="00CD5E12"/>
    <w:rsid w:val="00CD5FC9"/>
    <w:rsid w:val="00CF2763"/>
    <w:rsid w:val="00D011AD"/>
    <w:rsid w:val="00D03806"/>
    <w:rsid w:val="00D4342B"/>
    <w:rsid w:val="00D513AD"/>
    <w:rsid w:val="00D65E06"/>
    <w:rsid w:val="00D664C1"/>
    <w:rsid w:val="00D665E0"/>
    <w:rsid w:val="00D7094B"/>
    <w:rsid w:val="00D72D9F"/>
    <w:rsid w:val="00D74397"/>
    <w:rsid w:val="00D769C5"/>
    <w:rsid w:val="00D84175"/>
    <w:rsid w:val="00D85517"/>
    <w:rsid w:val="00D90147"/>
    <w:rsid w:val="00D9205B"/>
    <w:rsid w:val="00D92108"/>
    <w:rsid w:val="00DA2307"/>
    <w:rsid w:val="00DA6A48"/>
    <w:rsid w:val="00DC2434"/>
    <w:rsid w:val="00DC7C2D"/>
    <w:rsid w:val="00DE1744"/>
    <w:rsid w:val="00DE4D1D"/>
    <w:rsid w:val="00DE6C36"/>
    <w:rsid w:val="00DF1F38"/>
    <w:rsid w:val="00DF36FC"/>
    <w:rsid w:val="00DF71FD"/>
    <w:rsid w:val="00E0312B"/>
    <w:rsid w:val="00E10283"/>
    <w:rsid w:val="00E2277A"/>
    <w:rsid w:val="00E23276"/>
    <w:rsid w:val="00E30D2D"/>
    <w:rsid w:val="00E33285"/>
    <w:rsid w:val="00E3490F"/>
    <w:rsid w:val="00E44E0B"/>
    <w:rsid w:val="00E46724"/>
    <w:rsid w:val="00E5223E"/>
    <w:rsid w:val="00E528EE"/>
    <w:rsid w:val="00E71869"/>
    <w:rsid w:val="00E9681F"/>
    <w:rsid w:val="00E96962"/>
    <w:rsid w:val="00EA007C"/>
    <w:rsid w:val="00EA52E1"/>
    <w:rsid w:val="00EA5739"/>
    <w:rsid w:val="00EB0501"/>
    <w:rsid w:val="00EB6866"/>
    <w:rsid w:val="00EC3568"/>
    <w:rsid w:val="00EC3FEB"/>
    <w:rsid w:val="00EC4586"/>
    <w:rsid w:val="00EE52E4"/>
    <w:rsid w:val="00EF0958"/>
    <w:rsid w:val="00F03DBC"/>
    <w:rsid w:val="00F04F02"/>
    <w:rsid w:val="00F10578"/>
    <w:rsid w:val="00F11B45"/>
    <w:rsid w:val="00F20C25"/>
    <w:rsid w:val="00F35401"/>
    <w:rsid w:val="00F36723"/>
    <w:rsid w:val="00F36B31"/>
    <w:rsid w:val="00F41481"/>
    <w:rsid w:val="00F5084C"/>
    <w:rsid w:val="00F51CF1"/>
    <w:rsid w:val="00F63B70"/>
    <w:rsid w:val="00F6603B"/>
    <w:rsid w:val="00F823B4"/>
    <w:rsid w:val="00F82E0A"/>
    <w:rsid w:val="00F95B9E"/>
    <w:rsid w:val="00F95E0B"/>
    <w:rsid w:val="00F97FB5"/>
    <w:rsid w:val="00FA4FDD"/>
    <w:rsid w:val="00FB01D5"/>
    <w:rsid w:val="00FC3F53"/>
    <w:rsid w:val="00FE50B9"/>
    <w:rsid w:val="00FF4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E38D"/>
  <w15:docId w15:val="{90D65D68-BB86-4DAD-AA72-0EEA2B68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character" w:customStyle="1" w:styleId="UnresolvedMention1">
    <w:name w:val="Unresolved Mention1"/>
    <w:basedOn w:val="DefaultParagraphFont"/>
    <w:uiPriority w:val="99"/>
    <w:semiHidden/>
    <w:unhideWhenUsed/>
    <w:rsid w:val="004B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794">
      <w:bodyDiv w:val="1"/>
      <w:marLeft w:val="0"/>
      <w:marRight w:val="0"/>
      <w:marTop w:val="0"/>
      <w:marBottom w:val="0"/>
      <w:divBdr>
        <w:top w:val="none" w:sz="0" w:space="0" w:color="auto"/>
        <w:left w:val="none" w:sz="0" w:space="0" w:color="auto"/>
        <w:bottom w:val="none" w:sz="0" w:space="0" w:color="auto"/>
        <w:right w:val="none" w:sz="0" w:space="0" w:color="auto"/>
      </w:divBdr>
    </w:div>
    <w:div w:id="17969352">
      <w:bodyDiv w:val="1"/>
      <w:marLeft w:val="0"/>
      <w:marRight w:val="0"/>
      <w:marTop w:val="0"/>
      <w:marBottom w:val="0"/>
      <w:divBdr>
        <w:top w:val="none" w:sz="0" w:space="0" w:color="auto"/>
        <w:left w:val="none" w:sz="0" w:space="0" w:color="auto"/>
        <w:bottom w:val="none" w:sz="0" w:space="0" w:color="auto"/>
        <w:right w:val="none" w:sz="0" w:space="0" w:color="auto"/>
      </w:divBdr>
    </w:div>
    <w:div w:id="44718272">
      <w:bodyDiv w:val="1"/>
      <w:marLeft w:val="0"/>
      <w:marRight w:val="0"/>
      <w:marTop w:val="0"/>
      <w:marBottom w:val="0"/>
      <w:divBdr>
        <w:top w:val="none" w:sz="0" w:space="0" w:color="auto"/>
        <w:left w:val="none" w:sz="0" w:space="0" w:color="auto"/>
        <w:bottom w:val="none" w:sz="0" w:space="0" w:color="auto"/>
        <w:right w:val="none" w:sz="0" w:space="0" w:color="auto"/>
      </w:divBdr>
    </w:div>
    <w:div w:id="51268804">
      <w:bodyDiv w:val="1"/>
      <w:marLeft w:val="0"/>
      <w:marRight w:val="0"/>
      <w:marTop w:val="0"/>
      <w:marBottom w:val="0"/>
      <w:divBdr>
        <w:top w:val="none" w:sz="0" w:space="0" w:color="auto"/>
        <w:left w:val="none" w:sz="0" w:space="0" w:color="auto"/>
        <w:bottom w:val="none" w:sz="0" w:space="0" w:color="auto"/>
        <w:right w:val="none" w:sz="0" w:space="0" w:color="auto"/>
      </w:divBdr>
    </w:div>
    <w:div w:id="54209413">
      <w:bodyDiv w:val="1"/>
      <w:marLeft w:val="0"/>
      <w:marRight w:val="0"/>
      <w:marTop w:val="0"/>
      <w:marBottom w:val="0"/>
      <w:divBdr>
        <w:top w:val="none" w:sz="0" w:space="0" w:color="auto"/>
        <w:left w:val="none" w:sz="0" w:space="0" w:color="auto"/>
        <w:bottom w:val="none" w:sz="0" w:space="0" w:color="auto"/>
        <w:right w:val="none" w:sz="0" w:space="0" w:color="auto"/>
      </w:divBdr>
    </w:div>
    <w:div w:id="62223212">
      <w:bodyDiv w:val="1"/>
      <w:marLeft w:val="0"/>
      <w:marRight w:val="0"/>
      <w:marTop w:val="0"/>
      <w:marBottom w:val="0"/>
      <w:divBdr>
        <w:top w:val="none" w:sz="0" w:space="0" w:color="auto"/>
        <w:left w:val="none" w:sz="0" w:space="0" w:color="auto"/>
        <w:bottom w:val="none" w:sz="0" w:space="0" w:color="auto"/>
        <w:right w:val="none" w:sz="0" w:space="0" w:color="auto"/>
      </w:divBdr>
    </w:div>
    <w:div w:id="106122012">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39537440">
      <w:bodyDiv w:val="1"/>
      <w:marLeft w:val="0"/>
      <w:marRight w:val="0"/>
      <w:marTop w:val="0"/>
      <w:marBottom w:val="0"/>
      <w:divBdr>
        <w:top w:val="none" w:sz="0" w:space="0" w:color="auto"/>
        <w:left w:val="none" w:sz="0" w:space="0" w:color="auto"/>
        <w:bottom w:val="none" w:sz="0" w:space="0" w:color="auto"/>
        <w:right w:val="none" w:sz="0" w:space="0" w:color="auto"/>
      </w:divBdr>
    </w:div>
    <w:div w:id="142814211">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89240137">
      <w:bodyDiv w:val="1"/>
      <w:marLeft w:val="0"/>
      <w:marRight w:val="0"/>
      <w:marTop w:val="0"/>
      <w:marBottom w:val="0"/>
      <w:divBdr>
        <w:top w:val="none" w:sz="0" w:space="0" w:color="auto"/>
        <w:left w:val="none" w:sz="0" w:space="0" w:color="auto"/>
        <w:bottom w:val="none" w:sz="0" w:space="0" w:color="auto"/>
        <w:right w:val="none" w:sz="0" w:space="0" w:color="auto"/>
      </w:divBdr>
    </w:div>
    <w:div w:id="307251066">
      <w:bodyDiv w:val="1"/>
      <w:marLeft w:val="0"/>
      <w:marRight w:val="0"/>
      <w:marTop w:val="0"/>
      <w:marBottom w:val="0"/>
      <w:divBdr>
        <w:top w:val="none" w:sz="0" w:space="0" w:color="auto"/>
        <w:left w:val="none" w:sz="0" w:space="0" w:color="auto"/>
        <w:bottom w:val="none" w:sz="0" w:space="0" w:color="auto"/>
        <w:right w:val="none" w:sz="0" w:space="0" w:color="auto"/>
      </w:divBdr>
    </w:div>
    <w:div w:id="322323173">
      <w:bodyDiv w:val="1"/>
      <w:marLeft w:val="0"/>
      <w:marRight w:val="0"/>
      <w:marTop w:val="0"/>
      <w:marBottom w:val="0"/>
      <w:divBdr>
        <w:top w:val="none" w:sz="0" w:space="0" w:color="auto"/>
        <w:left w:val="none" w:sz="0" w:space="0" w:color="auto"/>
        <w:bottom w:val="none" w:sz="0" w:space="0" w:color="auto"/>
        <w:right w:val="none" w:sz="0" w:space="0" w:color="auto"/>
      </w:divBdr>
    </w:div>
    <w:div w:id="323435745">
      <w:bodyDiv w:val="1"/>
      <w:marLeft w:val="0"/>
      <w:marRight w:val="0"/>
      <w:marTop w:val="0"/>
      <w:marBottom w:val="0"/>
      <w:divBdr>
        <w:top w:val="none" w:sz="0" w:space="0" w:color="auto"/>
        <w:left w:val="none" w:sz="0" w:space="0" w:color="auto"/>
        <w:bottom w:val="none" w:sz="0" w:space="0" w:color="auto"/>
        <w:right w:val="none" w:sz="0" w:space="0" w:color="auto"/>
      </w:divBdr>
    </w:div>
    <w:div w:id="327098081">
      <w:bodyDiv w:val="1"/>
      <w:marLeft w:val="0"/>
      <w:marRight w:val="0"/>
      <w:marTop w:val="0"/>
      <w:marBottom w:val="0"/>
      <w:divBdr>
        <w:top w:val="none" w:sz="0" w:space="0" w:color="auto"/>
        <w:left w:val="none" w:sz="0" w:space="0" w:color="auto"/>
        <w:bottom w:val="none" w:sz="0" w:space="0" w:color="auto"/>
        <w:right w:val="none" w:sz="0" w:space="0" w:color="auto"/>
      </w:divBdr>
    </w:div>
    <w:div w:id="374812884">
      <w:bodyDiv w:val="1"/>
      <w:marLeft w:val="0"/>
      <w:marRight w:val="0"/>
      <w:marTop w:val="0"/>
      <w:marBottom w:val="0"/>
      <w:divBdr>
        <w:top w:val="none" w:sz="0" w:space="0" w:color="auto"/>
        <w:left w:val="none" w:sz="0" w:space="0" w:color="auto"/>
        <w:bottom w:val="none" w:sz="0" w:space="0" w:color="auto"/>
        <w:right w:val="none" w:sz="0" w:space="0" w:color="auto"/>
      </w:divBdr>
    </w:div>
    <w:div w:id="378630719">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41800537">
      <w:bodyDiv w:val="1"/>
      <w:marLeft w:val="0"/>
      <w:marRight w:val="0"/>
      <w:marTop w:val="0"/>
      <w:marBottom w:val="0"/>
      <w:divBdr>
        <w:top w:val="none" w:sz="0" w:space="0" w:color="auto"/>
        <w:left w:val="none" w:sz="0" w:space="0" w:color="auto"/>
        <w:bottom w:val="none" w:sz="0" w:space="0" w:color="auto"/>
        <w:right w:val="none" w:sz="0" w:space="0" w:color="auto"/>
      </w:divBdr>
    </w:div>
    <w:div w:id="505636830">
      <w:bodyDiv w:val="1"/>
      <w:marLeft w:val="0"/>
      <w:marRight w:val="0"/>
      <w:marTop w:val="0"/>
      <w:marBottom w:val="0"/>
      <w:divBdr>
        <w:top w:val="none" w:sz="0" w:space="0" w:color="auto"/>
        <w:left w:val="none" w:sz="0" w:space="0" w:color="auto"/>
        <w:bottom w:val="none" w:sz="0" w:space="0" w:color="auto"/>
        <w:right w:val="none" w:sz="0" w:space="0" w:color="auto"/>
      </w:divBdr>
    </w:div>
    <w:div w:id="527183884">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2330663">
      <w:bodyDiv w:val="1"/>
      <w:marLeft w:val="0"/>
      <w:marRight w:val="0"/>
      <w:marTop w:val="0"/>
      <w:marBottom w:val="0"/>
      <w:divBdr>
        <w:top w:val="none" w:sz="0" w:space="0" w:color="auto"/>
        <w:left w:val="none" w:sz="0" w:space="0" w:color="auto"/>
        <w:bottom w:val="none" w:sz="0" w:space="0" w:color="auto"/>
        <w:right w:val="none" w:sz="0" w:space="0" w:color="auto"/>
      </w:divBdr>
    </w:div>
    <w:div w:id="557282078">
      <w:bodyDiv w:val="1"/>
      <w:marLeft w:val="0"/>
      <w:marRight w:val="0"/>
      <w:marTop w:val="0"/>
      <w:marBottom w:val="0"/>
      <w:divBdr>
        <w:top w:val="none" w:sz="0" w:space="0" w:color="auto"/>
        <w:left w:val="none" w:sz="0" w:space="0" w:color="auto"/>
        <w:bottom w:val="none" w:sz="0" w:space="0" w:color="auto"/>
        <w:right w:val="none" w:sz="0" w:space="0" w:color="auto"/>
      </w:divBdr>
    </w:div>
    <w:div w:id="564410191">
      <w:bodyDiv w:val="1"/>
      <w:marLeft w:val="0"/>
      <w:marRight w:val="0"/>
      <w:marTop w:val="0"/>
      <w:marBottom w:val="0"/>
      <w:divBdr>
        <w:top w:val="none" w:sz="0" w:space="0" w:color="auto"/>
        <w:left w:val="none" w:sz="0" w:space="0" w:color="auto"/>
        <w:bottom w:val="none" w:sz="0" w:space="0" w:color="auto"/>
        <w:right w:val="none" w:sz="0" w:space="0" w:color="auto"/>
      </w:divBdr>
    </w:div>
    <w:div w:id="59096891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73284893">
      <w:bodyDiv w:val="1"/>
      <w:marLeft w:val="0"/>
      <w:marRight w:val="0"/>
      <w:marTop w:val="0"/>
      <w:marBottom w:val="0"/>
      <w:divBdr>
        <w:top w:val="none" w:sz="0" w:space="0" w:color="auto"/>
        <w:left w:val="none" w:sz="0" w:space="0" w:color="auto"/>
        <w:bottom w:val="none" w:sz="0" w:space="0" w:color="auto"/>
        <w:right w:val="none" w:sz="0" w:space="0" w:color="auto"/>
      </w:divBdr>
    </w:div>
    <w:div w:id="795568437">
      <w:bodyDiv w:val="1"/>
      <w:marLeft w:val="0"/>
      <w:marRight w:val="0"/>
      <w:marTop w:val="0"/>
      <w:marBottom w:val="0"/>
      <w:divBdr>
        <w:top w:val="none" w:sz="0" w:space="0" w:color="auto"/>
        <w:left w:val="none" w:sz="0" w:space="0" w:color="auto"/>
        <w:bottom w:val="none" w:sz="0" w:space="0" w:color="auto"/>
        <w:right w:val="none" w:sz="0" w:space="0" w:color="auto"/>
      </w:divBdr>
    </w:div>
    <w:div w:id="827357108">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67448857">
      <w:bodyDiv w:val="1"/>
      <w:marLeft w:val="0"/>
      <w:marRight w:val="0"/>
      <w:marTop w:val="0"/>
      <w:marBottom w:val="0"/>
      <w:divBdr>
        <w:top w:val="none" w:sz="0" w:space="0" w:color="auto"/>
        <w:left w:val="none" w:sz="0" w:space="0" w:color="auto"/>
        <w:bottom w:val="none" w:sz="0" w:space="0" w:color="auto"/>
        <w:right w:val="none" w:sz="0" w:space="0" w:color="auto"/>
      </w:divBdr>
    </w:div>
    <w:div w:id="960958332">
      <w:bodyDiv w:val="1"/>
      <w:marLeft w:val="0"/>
      <w:marRight w:val="0"/>
      <w:marTop w:val="0"/>
      <w:marBottom w:val="0"/>
      <w:divBdr>
        <w:top w:val="none" w:sz="0" w:space="0" w:color="auto"/>
        <w:left w:val="none" w:sz="0" w:space="0" w:color="auto"/>
        <w:bottom w:val="none" w:sz="0" w:space="0" w:color="auto"/>
        <w:right w:val="none" w:sz="0" w:space="0" w:color="auto"/>
      </w:divBdr>
    </w:div>
    <w:div w:id="968903196">
      <w:bodyDiv w:val="1"/>
      <w:marLeft w:val="0"/>
      <w:marRight w:val="0"/>
      <w:marTop w:val="0"/>
      <w:marBottom w:val="0"/>
      <w:divBdr>
        <w:top w:val="none" w:sz="0" w:space="0" w:color="auto"/>
        <w:left w:val="none" w:sz="0" w:space="0" w:color="auto"/>
        <w:bottom w:val="none" w:sz="0" w:space="0" w:color="auto"/>
        <w:right w:val="none" w:sz="0" w:space="0" w:color="auto"/>
      </w:divBdr>
    </w:div>
    <w:div w:id="1034965541">
      <w:bodyDiv w:val="1"/>
      <w:marLeft w:val="0"/>
      <w:marRight w:val="0"/>
      <w:marTop w:val="0"/>
      <w:marBottom w:val="0"/>
      <w:divBdr>
        <w:top w:val="none" w:sz="0" w:space="0" w:color="auto"/>
        <w:left w:val="none" w:sz="0" w:space="0" w:color="auto"/>
        <w:bottom w:val="none" w:sz="0" w:space="0" w:color="auto"/>
        <w:right w:val="none" w:sz="0" w:space="0" w:color="auto"/>
      </w:divBdr>
    </w:div>
    <w:div w:id="1058406612">
      <w:bodyDiv w:val="1"/>
      <w:marLeft w:val="0"/>
      <w:marRight w:val="0"/>
      <w:marTop w:val="0"/>
      <w:marBottom w:val="0"/>
      <w:divBdr>
        <w:top w:val="none" w:sz="0" w:space="0" w:color="auto"/>
        <w:left w:val="none" w:sz="0" w:space="0" w:color="auto"/>
        <w:bottom w:val="none" w:sz="0" w:space="0" w:color="auto"/>
        <w:right w:val="none" w:sz="0" w:space="0" w:color="auto"/>
      </w:divBdr>
    </w:div>
    <w:div w:id="1085224969">
      <w:bodyDiv w:val="1"/>
      <w:marLeft w:val="0"/>
      <w:marRight w:val="0"/>
      <w:marTop w:val="0"/>
      <w:marBottom w:val="0"/>
      <w:divBdr>
        <w:top w:val="none" w:sz="0" w:space="0" w:color="auto"/>
        <w:left w:val="none" w:sz="0" w:space="0" w:color="auto"/>
        <w:bottom w:val="none" w:sz="0" w:space="0" w:color="auto"/>
        <w:right w:val="none" w:sz="0" w:space="0" w:color="auto"/>
      </w:divBdr>
    </w:div>
    <w:div w:id="1087841984">
      <w:bodyDiv w:val="1"/>
      <w:marLeft w:val="0"/>
      <w:marRight w:val="0"/>
      <w:marTop w:val="0"/>
      <w:marBottom w:val="0"/>
      <w:divBdr>
        <w:top w:val="none" w:sz="0" w:space="0" w:color="auto"/>
        <w:left w:val="none" w:sz="0" w:space="0" w:color="auto"/>
        <w:bottom w:val="none" w:sz="0" w:space="0" w:color="auto"/>
        <w:right w:val="none" w:sz="0" w:space="0" w:color="auto"/>
      </w:divBdr>
    </w:div>
    <w:div w:id="1124813777">
      <w:bodyDiv w:val="1"/>
      <w:marLeft w:val="0"/>
      <w:marRight w:val="0"/>
      <w:marTop w:val="0"/>
      <w:marBottom w:val="0"/>
      <w:divBdr>
        <w:top w:val="none" w:sz="0" w:space="0" w:color="auto"/>
        <w:left w:val="none" w:sz="0" w:space="0" w:color="auto"/>
        <w:bottom w:val="none" w:sz="0" w:space="0" w:color="auto"/>
        <w:right w:val="none" w:sz="0" w:space="0" w:color="auto"/>
      </w:divBdr>
    </w:div>
    <w:div w:id="1141339426">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42642221">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284731940">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18151425">
      <w:bodyDiv w:val="1"/>
      <w:marLeft w:val="0"/>
      <w:marRight w:val="0"/>
      <w:marTop w:val="0"/>
      <w:marBottom w:val="0"/>
      <w:divBdr>
        <w:top w:val="none" w:sz="0" w:space="0" w:color="auto"/>
        <w:left w:val="none" w:sz="0" w:space="0" w:color="auto"/>
        <w:bottom w:val="none" w:sz="0" w:space="0" w:color="auto"/>
        <w:right w:val="none" w:sz="0" w:space="0" w:color="auto"/>
      </w:divBdr>
    </w:div>
    <w:div w:id="1334525488">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367753732">
      <w:bodyDiv w:val="1"/>
      <w:marLeft w:val="0"/>
      <w:marRight w:val="0"/>
      <w:marTop w:val="0"/>
      <w:marBottom w:val="0"/>
      <w:divBdr>
        <w:top w:val="none" w:sz="0" w:space="0" w:color="auto"/>
        <w:left w:val="none" w:sz="0" w:space="0" w:color="auto"/>
        <w:bottom w:val="none" w:sz="0" w:space="0" w:color="auto"/>
        <w:right w:val="none" w:sz="0" w:space="0" w:color="auto"/>
      </w:divBdr>
    </w:div>
    <w:div w:id="1486043075">
      <w:bodyDiv w:val="1"/>
      <w:marLeft w:val="0"/>
      <w:marRight w:val="0"/>
      <w:marTop w:val="0"/>
      <w:marBottom w:val="0"/>
      <w:divBdr>
        <w:top w:val="none" w:sz="0" w:space="0" w:color="auto"/>
        <w:left w:val="none" w:sz="0" w:space="0" w:color="auto"/>
        <w:bottom w:val="none" w:sz="0" w:space="0" w:color="auto"/>
        <w:right w:val="none" w:sz="0" w:space="0" w:color="auto"/>
      </w:divBdr>
    </w:div>
    <w:div w:id="1502966520">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61136610">
      <w:bodyDiv w:val="1"/>
      <w:marLeft w:val="0"/>
      <w:marRight w:val="0"/>
      <w:marTop w:val="0"/>
      <w:marBottom w:val="0"/>
      <w:divBdr>
        <w:top w:val="none" w:sz="0" w:space="0" w:color="auto"/>
        <w:left w:val="none" w:sz="0" w:space="0" w:color="auto"/>
        <w:bottom w:val="none" w:sz="0" w:space="0" w:color="auto"/>
        <w:right w:val="none" w:sz="0" w:space="0" w:color="auto"/>
      </w:divBdr>
    </w:div>
    <w:div w:id="1562865122">
      <w:bodyDiv w:val="1"/>
      <w:marLeft w:val="0"/>
      <w:marRight w:val="0"/>
      <w:marTop w:val="0"/>
      <w:marBottom w:val="0"/>
      <w:divBdr>
        <w:top w:val="none" w:sz="0" w:space="0" w:color="auto"/>
        <w:left w:val="none" w:sz="0" w:space="0" w:color="auto"/>
        <w:bottom w:val="none" w:sz="0" w:space="0" w:color="auto"/>
        <w:right w:val="none" w:sz="0" w:space="0" w:color="auto"/>
      </w:divBdr>
    </w:div>
    <w:div w:id="1653676285">
      <w:bodyDiv w:val="1"/>
      <w:marLeft w:val="0"/>
      <w:marRight w:val="0"/>
      <w:marTop w:val="0"/>
      <w:marBottom w:val="0"/>
      <w:divBdr>
        <w:top w:val="none" w:sz="0" w:space="0" w:color="auto"/>
        <w:left w:val="none" w:sz="0" w:space="0" w:color="auto"/>
        <w:bottom w:val="none" w:sz="0" w:space="0" w:color="auto"/>
        <w:right w:val="none" w:sz="0" w:space="0" w:color="auto"/>
      </w:divBdr>
    </w:div>
    <w:div w:id="1688170267">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65682002">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4877035">
      <w:bodyDiv w:val="1"/>
      <w:marLeft w:val="0"/>
      <w:marRight w:val="0"/>
      <w:marTop w:val="0"/>
      <w:marBottom w:val="0"/>
      <w:divBdr>
        <w:top w:val="none" w:sz="0" w:space="0" w:color="auto"/>
        <w:left w:val="none" w:sz="0" w:space="0" w:color="auto"/>
        <w:bottom w:val="none" w:sz="0" w:space="0" w:color="auto"/>
        <w:right w:val="none" w:sz="0" w:space="0" w:color="auto"/>
      </w:divBdr>
    </w:div>
    <w:div w:id="1855219365">
      <w:bodyDiv w:val="1"/>
      <w:marLeft w:val="0"/>
      <w:marRight w:val="0"/>
      <w:marTop w:val="0"/>
      <w:marBottom w:val="0"/>
      <w:divBdr>
        <w:top w:val="none" w:sz="0" w:space="0" w:color="auto"/>
        <w:left w:val="none" w:sz="0" w:space="0" w:color="auto"/>
        <w:bottom w:val="none" w:sz="0" w:space="0" w:color="auto"/>
        <w:right w:val="none" w:sz="0" w:space="0" w:color="auto"/>
      </w:divBdr>
    </w:div>
    <w:div w:id="1863588591">
      <w:bodyDiv w:val="1"/>
      <w:marLeft w:val="0"/>
      <w:marRight w:val="0"/>
      <w:marTop w:val="0"/>
      <w:marBottom w:val="0"/>
      <w:divBdr>
        <w:top w:val="none" w:sz="0" w:space="0" w:color="auto"/>
        <w:left w:val="none" w:sz="0" w:space="0" w:color="auto"/>
        <w:bottom w:val="none" w:sz="0" w:space="0" w:color="auto"/>
        <w:right w:val="none" w:sz="0" w:space="0" w:color="auto"/>
      </w:divBdr>
    </w:div>
    <w:div w:id="1864972837">
      <w:bodyDiv w:val="1"/>
      <w:marLeft w:val="0"/>
      <w:marRight w:val="0"/>
      <w:marTop w:val="0"/>
      <w:marBottom w:val="0"/>
      <w:divBdr>
        <w:top w:val="none" w:sz="0" w:space="0" w:color="auto"/>
        <w:left w:val="none" w:sz="0" w:space="0" w:color="auto"/>
        <w:bottom w:val="none" w:sz="0" w:space="0" w:color="auto"/>
        <w:right w:val="none" w:sz="0" w:space="0" w:color="auto"/>
      </w:divBdr>
    </w:div>
    <w:div w:id="187649780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05799805">
      <w:bodyDiv w:val="1"/>
      <w:marLeft w:val="0"/>
      <w:marRight w:val="0"/>
      <w:marTop w:val="0"/>
      <w:marBottom w:val="0"/>
      <w:divBdr>
        <w:top w:val="none" w:sz="0" w:space="0" w:color="auto"/>
        <w:left w:val="none" w:sz="0" w:space="0" w:color="auto"/>
        <w:bottom w:val="none" w:sz="0" w:space="0" w:color="auto"/>
        <w:right w:val="none" w:sz="0" w:space="0" w:color="auto"/>
      </w:divBdr>
    </w:div>
    <w:div w:id="1906068356">
      <w:bodyDiv w:val="1"/>
      <w:marLeft w:val="0"/>
      <w:marRight w:val="0"/>
      <w:marTop w:val="0"/>
      <w:marBottom w:val="0"/>
      <w:divBdr>
        <w:top w:val="none" w:sz="0" w:space="0" w:color="auto"/>
        <w:left w:val="none" w:sz="0" w:space="0" w:color="auto"/>
        <w:bottom w:val="none" w:sz="0" w:space="0" w:color="auto"/>
        <w:right w:val="none" w:sz="0" w:space="0" w:color="auto"/>
      </w:divBdr>
    </w:div>
    <w:div w:id="1943412144">
      <w:bodyDiv w:val="1"/>
      <w:marLeft w:val="0"/>
      <w:marRight w:val="0"/>
      <w:marTop w:val="0"/>
      <w:marBottom w:val="0"/>
      <w:divBdr>
        <w:top w:val="none" w:sz="0" w:space="0" w:color="auto"/>
        <w:left w:val="none" w:sz="0" w:space="0" w:color="auto"/>
        <w:bottom w:val="none" w:sz="0" w:space="0" w:color="auto"/>
        <w:right w:val="none" w:sz="0" w:space="0" w:color="auto"/>
      </w:divBdr>
    </w:div>
    <w:div w:id="1965382466">
      <w:bodyDiv w:val="1"/>
      <w:marLeft w:val="0"/>
      <w:marRight w:val="0"/>
      <w:marTop w:val="0"/>
      <w:marBottom w:val="0"/>
      <w:divBdr>
        <w:top w:val="none" w:sz="0" w:space="0" w:color="auto"/>
        <w:left w:val="none" w:sz="0" w:space="0" w:color="auto"/>
        <w:bottom w:val="none" w:sz="0" w:space="0" w:color="auto"/>
        <w:right w:val="none" w:sz="0" w:space="0" w:color="auto"/>
      </w:divBdr>
    </w:div>
    <w:div w:id="2009869540">
      <w:bodyDiv w:val="1"/>
      <w:marLeft w:val="0"/>
      <w:marRight w:val="0"/>
      <w:marTop w:val="0"/>
      <w:marBottom w:val="0"/>
      <w:divBdr>
        <w:top w:val="none" w:sz="0" w:space="0" w:color="auto"/>
        <w:left w:val="none" w:sz="0" w:space="0" w:color="auto"/>
        <w:bottom w:val="none" w:sz="0" w:space="0" w:color="auto"/>
        <w:right w:val="none" w:sz="0" w:space="0" w:color="auto"/>
      </w:divBdr>
    </w:div>
    <w:div w:id="2093745075">
      <w:bodyDiv w:val="1"/>
      <w:marLeft w:val="0"/>
      <w:marRight w:val="0"/>
      <w:marTop w:val="0"/>
      <w:marBottom w:val="0"/>
      <w:divBdr>
        <w:top w:val="none" w:sz="0" w:space="0" w:color="auto"/>
        <w:left w:val="none" w:sz="0" w:space="0" w:color="auto"/>
        <w:bottom w:val="none" w:sz="0" w:space="0" w:color="auto"/>
        <w:right w:val="none" w:sz="0" w:space="0" w:color="auto"/>
      </w:divBdr>
    </w:div>
    <w:div w:id="21352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3145</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Grava</dc:creator>
  <cp:lastModifiedBy>Peteris Vilks</cp:lastModifiedBy>
  <cp:revision>2</cp:revision>
  <cp:lastPrinted>2018-11-29T07:09:00Z</cp:lastPrinted>
  <dcterms:created xsi:type="dcterms:W3CDTF">2021-10-29T06:11:00Z</dcterms:created>
  <dcterms:modified xsi:type="dcterms:W3CDTF">2021-10-29T06:11:00Z</dcterms:modified>
</cp:coreProperties>
</file>