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22-TA-2153: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punktā tehniska neprecizitāte. Norādīts, ka 3.1.1.3. apakšpunktā minēto rādītāju uzskata par sasniegtu, kad Veselības ministrija veikusi un publicējusi trīs pētījumus.Lūgums precizēt uz -  3.1.1.2. apakšpunktā minēto rādītāju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3.3.apakšpunkts.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punktā tehniska neprecizitāte. Lūgums precizēt uz 865 150 euro apmērā (šobrīd norādīts 865 1560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6.4.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(turpmāk – VM) pildīs ne tikai atbalsta sniedzēja funkcijas, bet arī sadarbības partnera funkcijas, lūdzam papildināt informatīvo ziņojuma projektu ar informāciju, ka abas funkcijas tiks nodalītas.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projekta 2.7. apakšpunktā jau ir iekļauta informācija, ka Veselības ministrijas kā sadarbības partnera funkcija tiks nodalīta no Veselības ministrijas, kā nozares ministrijas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informatīvā ziņojuma projekta 3.2.punktā attiecīgo pienākumu VM veiks kā nozares ministrija Ministru kabineta 2021.gada 7.septembra. noteikumu Nr.621 "Eiropas Savienības Atveseļošanas un noturības mehānisma plāna īstenošanas un uzraudzības kārtība" ietvaros vai kā sadarbības partneris. Lūdzam izvērtēt un, ja nepieciešams, precizēt attiecīgo atsauci, lai būtu skaidri nepārprotams. Attiecīgu precizējumu, lūdzam veikt visā informatīvajā ziņojuma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informatīvā ziņojuma projekta 3.2. un 3.3. apakšpunktā ar Veselības ministriju ir saprotams resors, kas īsteno veselības nozares rīcībpolitiku,  t.i. gan Veselības ministrija kā veselības politikas ieviešanas ministrija, gan tās padotības iestāde Slimību profilakses un kontroles centrs atbilstoši nolikumam. Šī ziņojuma 3.2. un 3.3. apakšpunktos ir norādīta Veselības ministrija, bet finansējuma saņēmēji ir Slimību profilakses un kontroles centrs un Veselības ministrija kā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 ar 3.5.apakšpunktu.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6.1.3.apakšpunktu, norādot, kādā jomā normatīvo aktu grozījumi ir plānoti. Papildus vēršam uzmanību, ka normatīvo aktu izstrāde ir tiešā valsts pārvaldes funkcija. Ievērojot minēto, lūdzam skaidrot, vai šis atbilst nosacījumam, ka normatīvo aktu izstrāde, kas ir valsts pārvaldes iestāžu funkcija, atbilst Latvijas Atveseļošanas un noturības mehānisma (turpmāk - ANM) plānā noteiktajam un ir saskaņots ar Eiropas Komisiju (turpmāk - EK). Lūdzam izvērtēt, vai minētais nav neattiecināmo izmaksu risks no EK skaidrojumu viedokļa un valsts pārvaldes uzdevumu nodrošināšanas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6.1.3.apakšpunkts.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pielikumu Komisijas lēmumam, ar kuru apstiprina Darbības kārtību, par kuru vienojas Eiropas Komisija un Latvija saskaņā ar regulu (ES) 2021/241 (turpmāk – pielikums Komisijas lēmumam) – pamatojoties uz pētījumu rezultātiem mikroorganismu rezistences (AMR), vakcinācijas un infekcijas slimību jomā, ir plānoti grozījumi tiesību aktos, kas saistīti ar sabiedrības veselības politikas jomu, piemēram, ieteikumos slimnīcām, Latvijas Slimību profilakses un kontroles centra darba dokumentos, pamatnostādnēs.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w:t>
            </w:r>
            <w:r w:rsidR="00000000" w:rsidRPr="00000000" w:rsidDel="00000000">
              <w:rPr>
                <w:i w:val="1"/>
                <w:rtl w:val="0"/>
              </w:rPr>
              <w:t xml:space="preserve">tiesību aktu grozījumu stāšanās spēkā</w:t>
            </w:r>
            <w:r w:rsidR="00000000" w:rsidRPr="00000000" w:rsidDel="00000000">
              <w:rPr>
                <w:rtl w:val="0"/>
              </w:rPr>
              <w:t xml:space="preserve"> ..” ir noteikts kā viens no 4.1.1.1.i. investīcijas atskaites punktiem, kas minēts pielikumā Komisijas lēmumam un ir saskaņots ar Eiropas Komisiju, kā arī Latvijas Atveseļošanas un noturības mehānisma plānā ir minēts  ..”</w:t>
            </w:r>
            <w:r w:rsidR="00000000" w:rsidRPr="00000000" w:rsidDel="00000000">
              <w:rPr>
                <w:i w:val="1"/>
                <w:rtl w:val="0"/>
              </w:rPr>
              <w:t xml:space="preserve"> pētījumi nodrošinās pamatu tālākai sabiedrības veselības politikas plānošanai un ieviešanai, t.sk. integrētajai veselības aprūpei, nepieciešamajiem uzlabojumiem normatīvajā ietvarā, metodoloģiskajā vadībā, vakcinācija process pilnveidē u.c. [..]</w:t>
            </w:r>
            <w:r w:rsidR="00000000" w:rsidRPr="00000000" w:rsidDel="00000000">
              <w:rPr>
                <w:rtl w:val="0"/>
              </w:rPr>
              <w:t xml:space="preserve">” un plāns ir apstiprināts nacionālajā līmenī (pieejams: https://likumi.lv/ta/id/322858-par-latvijas-atveselosanas-un-noturibas-mehanisma-planu).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minētais informatīvā ziņojuma punkts saistīts ar papildu izvērtējumu, kas izriet tieši no Atveseļošanas plānā noteiktās investīcijas uzstādījuma un atbilstoši jau iepriekšminētajam ir attiecināms finansēšanai Atveseļošanas plāna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6.2.3.apakšpunktu ar informāciju, nosakot, kādā jomā normatīvo aktu grozījumi ir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6.2.3.apakšpunkts.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izmaiņas izmaksu pozīcijās tās nevar pārsniegt ANM plānā noteikto un piešķirto apjomu. Atbilstoši, lūdzam precizēt informatīvā ziņojuma projekta 6.5.punktu.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6.5.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atbilstoši precizēt informatīvā ziņojuma projekta 7.7.punktu, vai citas izmaiņa vienošanās par projekta īstenošanu finansējuma saņēmējs var veikt vienpersonīgi.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7.7.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 -ziņojums)2.2.3. apakšpunktā norādīts, ka viens no investīciju atskaites punktiem ir tādu tiesību aktu grozījumu stāšanās spēkā, kuru mērķis ir uzlabot sabiedrības veselības politikas plānošanu un īstenošanu tādās jomās, kā rezistence pret antimikrobiālajiem līdzekļiem, vakcinācija un infekcijas slimības. Norādām, ka tiesību aktu grozījumu spēkā stāšanās pati  par sevi nedrīkstētu būt atskaites punkts, jo šādā gadījumā mērķis ir nevis izstrādāt kvalitatīvu tiesību aktu projektu, bet gan pati tiesību aktu projekta spēkā stāšanās par sevi. Turklāt īpaši izvērtējams apstāklis ir tas, ka atbilstoši 6.4.1.3. apakšpunktam ir paredzēts finansējums attiecībā uz šādu tiesību aktu projektu izstrādi, kas faktiski nozīmē, ka ir monetāra motivācija izstrādāt normatīvos aktus pašus par sevi, potenciāli neizvērtējot, vai tas vispār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sniegt izvērstu skaidrojumu par šāda atskaites punkta nepieciešamību vai to svītrot. Jebkurā gadījumā uzveram, ka norāde uz noteikta skaita tiesību aktu projektu spēkā stāšanos ir svītrojama, jo tas nedrīkstētu būt virsmērķis. Vienlaikus īpašī uzsveram, ka, lai novērstu tā sauktos "normatīvo aktu plūdus", būtu apsverama arī alternatīvu dokumentu, piemēram politikas plānošanas dokumentu, izstrāde normatīvo aktu projektu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attiecas uz visu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pielikumu Komisijas lēmumam, ar kuru apstiprina Darbības kārtību, par kuru vienojas Eiropas Komisija un Latvija saskaņā ar regulu (ES) 2021/241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grozījumu stāšanās spēkā ..” ir noteikts kā viens no 4.1.1.1.i. investīcijas atskaites punktiem, tas nav svītrojams vai maināms un ir saskaņots ar Eiropas Komisiju, kā arī ir minēts Latvijas Atveseļošanas un noturības mehānisma plānā ”.. pētījumi nodrošinās pamatu tālākai sabiedrības veselības politikas plānošanai un ieviešanai, t.sk. integrētajai veselības aprūpei, nepieciešamajiem uzlabojumiem normatīvajā ietvarā, metodoloģiskajā vadībā, vakcinācijas procesa pilnveidē u.c. [..]”, plāns ir apstiprināts nacionālajā līmenī (pieejams: https://likumi.lv/ta/id/322858-par-latvijas-atveselosanas-un-noturibas-mehanisma-planu).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2.6. apakšpunlktā norādīts, ka par nozares ministriju tiek uzskatīta "Veselības ministrijas struktūrvienība, kas veic nozares ministrijas pienākumus atbilstoši MK noteikumiem Nr. 621". Norādām, ka skaidrojums ir precizējams, jo nozares ministrijas pienākumus veic Veselības ministrija kopumā, kas attiecīgi pati var noteikt konkrēto struktūrvienību, kas veic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iespējams nošķirt ziņojuma 6.2. apakšpunktā norādītos "ekspertus" un "konsultantus". Attiecīgi lūdzam precizēt ziņojumu vai norādīt skaidrus nošķiršanas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6.2. apakšpunkts – svītroti vārdi “konsultantu”.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jaunu punktu, kurš aprakstītu ANM 4.1.1.1.i. investīcijas " Atbalsts sabiedrības veselības pētījumu veikšanai" sasaisti, sinerģiju un demarkāciju ar ES kohēzijas politikas programmas 2021.-2027.gadam 4.1.2. specifisko atbalsta mērķi “Uzlabot vienlīdzīgu un savlaicīgu piekļuvi kvalitatīviem, ilgtspējīgiem un izmaksu ziņā pieejamiem veselības aprūpes, veselības veicināšanas un slimību profilakses pakalpojumiem, uzlabojot veselības aprūpes sistēmu efektivitāti un izturētspēju” (turpmāk – 4.1.2.SAM), ņemot vērā, ka 4.1.2.SAM plānots atbalsts pētniecībai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 ar 1.9. apakšpunktu sekojošā redakcijā: "Investīcijas ietvaros tiks nodrošināta sinerģija  un demarkācija ar Eiropas Savienības kohēzijas politikas programmas 2021.-2027. gadam 4.1.2. specifisko atbalsta mērķi “Uzlabot vienlīdzīgu un savlaicīgu piekļuvi kvalitatīviem, ilgtspējīgiem un izmaksu ziņā pieejamiem veselības aprūpes, veselības veicināšanas un slimību profilakses pakalpojumiem, uzlabojot veselības aprūpes sistēmu efektivitāti un izturētspēju”."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1.6.punktu ar zemsvītras skaidrojumu, norādot konkrētos Eiropas Savienības fondus, kuru finansējumu plānots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projektā 1.6.apakšpunktā minētos pasākumus ir plānot īstenot Eiropas Savienības Eiropas Sociālā fonda ietvaros, bet darbības programmas un projekta izstrādes gaitā šis var tikt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2.6.punktā vārdus “atskaites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papilināt informatīvā ziņojumā projekta 4.1.punktu ar vārdiem "šī ziņojuma" pirms skaitļa "4.4."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4.1.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4.7.punktā vārdus “atskaites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4.7.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papilināt informatīvā ziņojuma projekta 6.7.punktu ar vārdiem "šī ziņojuma" pirms skaitļa "6.1.".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6.7.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7.6.punktā saīsinājumu "KPVIS" ar vārdiem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7.6.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7.14.punktā otrā teikuma daļu, jo minētajam ir informatīvs raksturs un nav attiecināms uz finansējuma saņēmēja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7.14.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7.19.3.apakšpunktu, ņemot vērā, ka līdz 2026. gada 31. augustam ir jābūt veiktam arī noslēguma maksājumam.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7.18.3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2.3.punktu ar vārdu "Republikas" pirms vārda "iedzīvotāji".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projekta 4.6.punktu, ņemot vērā,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4.6.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normas izpratnei, papildināt ziņojuma projekta 6.5. punkta pēdējo teikumu, norādot, ka izmaiņas izmaksu pozīcijās nedrīkst pārsniegt konkrētajai investīcijai piešķirto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6.5.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Eiropas Savienības Atveseļošanas un noturības mehānisma plāna 4.1.1.1.i. investīcijas “Atbalsts sabiedrības veselības pētījumu veikšanai” ietvaros īstenotā projekta pievienotās vērtības nodokļa izmaksas ne vairāk kā 150 150,00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norādot pievienotās vērtības nodokļa izmaksas summu veselos skaitļos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Eiropas Savienības Atveseļošanas un noturības mehānisma plāna 4.1.1.1.i. investīcijas “Atbalsts sabiedrības veselības pētījumu veikšanai” ietvaros īstenotā projekta pievienotās vērtības nodokļa izmaksas ne vairāk kā 150 150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22-TA-2153</w:t>
    </w:r>
    <w:r>
      <w:br/>
    </w:r>
    <w:r w:rsidR="00000000" w:rsidRPr="00000000" w:rsidDel="00000000">
      <w:rPr>
        <w:rtl w:val="0"/>
      </w:rPr>
      <w:t xml:space="preserve">10.08.2022. 16.14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22-TA-2153</w:t>
    </w:r>
    <w:r>
      <w:br/>
    </w:r>
    <w:r w:rsidR="00000000" w:rsidRPr="00000000" w:rsidDel="00000000">
      <w:rPr>
        <w:rtl w:val="0"/>
      </w:rPr>
      <w:t xml:space="preserve">10.08.2022. 16.14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Izziņa_22-TA-2153.docx</dc:title>
</cp:coreProperties>
</file>

<file path=docProps/custom.xml><?xml version="1.0" encoding="utf-8"?>
<Properties xmlns="http://schemas.openxmlformats.org/officeDocument/2006/custom-properties" xmlns:vt="http://schemas.openxmlformats.org/officeDocument/2006/docPropsVTypes"/>
</file>