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23-TA-1151: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pirmā posma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sēdes protokollēmumā (prot. Nr. 36 85. § 3. punkts)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Eiropas Savienības fondu projektu izvērtējuma par izmaksu un ieguvumu analīzi veikšanu ne tikai gadījumos, kad Eiropas Savienības fondu projekta ietvaros plānots gūt neto ieņēmumus, atbildīgā iestāde, izstrādājot Ministru kabineta noteikumu projektu par specifiskā atbalsta mērķa īstenošanu, paredz nepieciešamību finansējuma saņēmējam veikt izvērtējumu par izmaksu un ieguvumu analīzi Eiropas Savienības fondu projektiem, kuru atlase paredzēta ierobežotas projektu iesniegumu atlases veidā un projekta kopējās izmaksas (ieskaitot PVN) pārsniedz 1 miljonu euro. Atbildīgā iestāde minēto risinājumu var nepiemērot, ja to objektīvi un izvērsti pamato Ministru kabineta noteikumu par specifisko atbalsta mērķa īstenošanu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projektu ar normu, kas paredz, ka finansējuma saņēmējs veic izmaksu un ieguvumu analīzi. Atbilstoši lūdzam papildināt arī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otrās kārtas pirmā posma mērķis ir veicināt tehniskās kapacitātes celšanu Valsts ugunsdzēsības un glābšanas dienestā, nodrošinot vieglo transportlīdzekļu modernizēšanu un paaugstinot sniegto pakalpojumu kvalitāti un pieejamību, sniedzot savlaicīgu palīdzību iedzīvotājiem dažādās bīstamās situācijās, glābjot cilvēku dzīvības, materiālās vērtības un novēršot vides apdraudējumus.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punktu, norādot pasākuma otrās kārtas mērķi atbilstoši Eiropas Savienības kohēzijas politikas programmā 2021.-2027.gadam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mērķis ir veicināt tehniskās kapacitātes celšanu un uzlabot kopējo reaģētspēju Valsts ugunsdzēsības un glābšanas dienestā, nodrošinot specializētā ugunsdzēsības un glābšanas autotransporta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otrās kārtas mērķis ir veicināt tehniskās kapacitātes celšanu un uzlabot kopējo reaģētspēju Valsts ugunsdzēsības un glābšanas dienestā, nodrošinot transportlīdzekļus Valsts ugunsdzēsības un glābšanas dienestam prevencijas darbu un administratīvām vajadzībām, ar iespēju negadījumā iesaistīties, nogādājot uz notikuma vietu pēc nepieciešamības cilvēkus un aprīkojumu.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rezultāta rādītājs, kas jāsasniedz līdz 2029. gada 31. decembrim: aplēstās siltumnīcefekta gāzu emisijas samazinās no 1,521 CO2 tonnām, saskaņā ar 2020. gada datiem, līdz 1,395 CO2 tonnām 2029.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6.2. apakšpunktu, nosakot rezultāta rādītājam "aplēstās siltumnīcefekta gāzu emisijas samazinājums CO2 tonnas/gadā" sasniedzamo starpposma vērtību arī līdz 2024.gada beigām 1.521 CO2 tonnas/gadā, ņemot vērā programmā noteikto sasniedzamo starpposma vērtību minētajam rādītājam 2024.gadā.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 noteikumu projektā ietvertajiem nosacījumiem un anotācijā skaidrotā secināms, ka projektu plānots īstenot līdz 2024.gada 31.decembrim. Ņemot vērā minēto, aicinām izvērtēt nepieciešamību precizēt noteikumu projekta 6.2.apakšpunktu, skaidri nodalot, kura projekta ietvaros plānots sasniegt 2024.gadā noteikto starpposma vērtību 1.521 CO2 tonnas/gadā un kura projekta ietvaros – 2029.gadam noteikto vērtību 1,395 CO2 tonnas/gadā. Lūdzam atbilstošus precizējumus veikt arī  anotācijā, nodrošinot skaidru un nepārprotamu informācijas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Iekšlietu ministrija ir iesniegusi grozījumu priekšlikumus Eiropas Savienības kohēzijas politikas programmā 2021.-2027.gadam un izrietoši arī rādītāju pasē. Ierosinātie grozījumi vēl būs jāsaskaņo un jāapstiprina Eiropas Komisijai. Ņemot vērā minēto, aicinām Iekšlietu ministriju izvērtēt minēto grozījumu ietekmi uz noteikumu projektu, nepieciešamības gadījumā iekļaujot protokollēmumā punktu, kas paredz Iekšlietu ministrijai izstrādāt rīcību gadījumā, ja tiks saņemti apsvērumi no Eiropas Komisijas par ierosinātajiem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Rezultāta rādītājs ir precizēts. Skaidrojam, ka 1 521 CO2 tonnas/gadā nav starpposma vērtība, bet tā ir bāzes vērtība un, ņemot vērā, ka plānotā otrās projektu iesniegumu atlases kārta sākotnēji tika paredzēta divos posmos, bet ir izmainījusi struktūru (otrais plānotais posms ir kā atsevišķa  2.1.3.3. pasākuma “Katastrofu risku mazināšanas pasākumi” </w:t>
            </w:r>
            <w:r w:rsidR="00000000" w:rsidRPr="00000000" w:rsidDel="00000000">
              <w:rPr>
                <w:b w:val="1"/>
                <w:rtl w:val="0"/>
              </w:rPr>
              <w:t xml:space="preserve">5.</w:t>
            </w:r>
            <w:r w:rsidR="00000000" w:rsidRPr="00000000" w:rsidDel="00000000">
              <w:rPr>
                <w:rtl w:val="0"/>
              </w:rPr>
              <w:t xml:space="preserve"> kārta) sasniedzamā vērtība (2029. gadā 1 395 CO2 tonnas/gadā) tiks sasniegta summējot 2. kārtas un 5. kārtas vērtības.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otrās kārtas pirmajam posmam pieejamais kopējais attiecināmais finansējums ir 2 250 000 euro, tai skaitā Eiropas Reģionālās attīstības fonda finansējums – 1 912 500 euro un valsts budžeta līdzfinansējums –   337 500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7.punktu, norādot pasākuma 2.kārtai plānoto un pieejamo finansējumu. Vēršam uzmanību, ka saskaņā ar Iekšlietu ministrijas norādīto informāciju pie Ministru kabineta noteikumu projekta par 2.1.3.3.pasākuma "Katastrofu risku mazināšanas pasākumi” 1.kārtas īstenošanu, elastības finansējums ir plānots tieši 2.kārtā. Lūdzam atbilstoši precizēt arī norādīto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atjaunojusi informāciju - elastības finansējums tiek paredzēts 3. kārtā un 5. kārtā.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otrās kārtas pieejamais kopējais attiecināmais finansējums ir 2 250 000 euro, tai skaitā Eiropas Reģionālās attīstības fonda finansējums – 1 912 500 euro un valsts budžeta līdzfinansējums –   337 500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Projektu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nosaka izdevumu attiecināmības sākuma termiņu, kā arī papildināt anotāciju ar pamatojumu, kas nosaka finanšu plūsmas pirms projekta apstiprināšanas nodrošināšanas nosacījumus, kā arī atbildīgās iestādes pienākumus un atbildību gadījumos, ja pirms projekta apstiprināšanas radušās izmaksas, kas nav attiecināmas no ES fondu līdzekļiem. No anotācijā norādītās informācijas secināms, ka izmaksas plānots attiecināt no noteikumu projekta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projektu ar jaunu punktu, kas nosaka, ka nedrīkst attiecināt jau pabeigtas darbības, ņemot vērā anotācijā norādīto informāciju par izmaksu attiecināmības sākuma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iekļauts punkts, kas nosaka izdevumu attiecināmības stāšanos spēkā, bet finanšu līdzekļu plūsma pirms projekta apstiprināšanas nav paredzēta.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Projektu atbalstāmās darbības un attiecināmās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horizontālā principa "Vienlīdzība, iekļaušana, nediskriminācija un pamattiesību ievērošana" (turpmāk – HP VINPI) rādītāju, ņemot vērā, ka 2.1.3.3. pasākumam ir netieša ietekme uz minēto horizontālo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HP VINPI rādītāji noteikti Labklājības ministrijas un Tieslietu ministrijas kopīgi izstrādāto vadlīniju “Horizontālais princips “Vienlīdzība, iekļaušana, nediskriminācija un pamattiesību ievērošana” īstenošanas un uzraudzības (2021-2027) 4.pielikumā (pieejamas tīmekļa vietnē: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noteikumu projektu ar jaunu punktu, kas uzliek pienākumu finansējuma saņēmējam uzkrāt datus par horizontālo principu (uzskaitot konkrētos horizontālos principus) ievērošanu un nodrošināt horizontālo principu ievērošanu (t.sk. nenodarīt būtisku kaitējumu principu, ja attiecināms), kā arī pienākumu finansējuma saņēmējam uzkrāt datus par 2.1.3.3. pasākuma rezultātu un iznākuma rādītāju sasniegtajām vērtībām. Iekļaujot pienākumu finansējuma saņēmējam attiecībā uz nenodarīt būtisku kaitējumu principa ievērošanu, lūdzam vienlaikus pārskatīt noteikumu projekta 15.punktā iekļautā nosacījuma juridisko slogu un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nodrošinātu skaidru un nepārprotamu informācijas izsekojamību par pasākuma ietekmi (tieša, netieša vai nav ietekmes) uz horizontālajiem principiem, lūdzam pārskatīt un atbilstoši precizēt/papildināt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saņēmējam ir pienākums pirms pasākuma otrās projektu iesniegumu atlases kārtas pirmā posma izsludināšanas izstrādāt nosacījumus, kas paredz kārtību, kādā tiks nodrošināta interešu konflikta neesamība, identificēti apstākļi, kuri izraisa vai var izraisīt interešu konfliktu, kas rada apdraudējumu vai kaitējumu projekta īstenošanai, noteikti veicamie pasākumi un izstrādāti darbības plāni interešu konflikta preventīvai novēršanai un gadījumiem, kad interešu konflikts ir atklāts.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23.punktu, nosakot, ka finansējuma saņēmējs paraksta interešu konflikta neesības apliecinājumu. Vienlaikus aicinām papildināt anotāciju ar skaidrojumu, ka finansējuma saņēmējs nodrošinās interešu konflikta neesību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saņēmējam ir pienākums pirms pasākuma otrās projektu iesniegumu atlases kārtas izsludināšanas izstrādāt nosacījumus, kas paredz kārtību, kādā tiks nodrošināta interešu konflikta neesamība, identificēti apstākļi, kuri izraisa vai var izraisīt interešu konfliktu vai kas rada jebkāda veida apdraudējumu vai kaitējumu projekta īstenošanai, noteikti veicamie pasākumi un izstrādāti darbības plāni preventīvai novēršanai un gadījumiem, kad interešu konflikts, krāpšana,  korupcija vai apdraudējums ir atklāts.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tiesību akta nozīmi un pienesumu Latvijas kopējai izaugsmei un tautsaimniecības attīstībai, ņemot vērā FM 2023.gada vēstulē Nr. 5.1-24/21/ 1076 “Par Eiropas Savienības fondu un Atveseļošanas fonda investīciju pienesumu tautsaimniecībai” ietverto aicinājumu. Vēršam uzmanību, ka saskaņā ar MK 2021.gada 7.septembra noteikumu Nr.617 “Tiesību akta projekta sākotnējās ietekmes izvērtēšanas kārtība” 14.punktā noteikto, izstrādājot sākotnējās ietekmes novērtējumu (anotāciju), ir jāizvērtē arī normatīvā akta ietekme uz tautsaimniecību, norādot pēc iespējas izmērāmus rādītājus, kā arī novērtējot konkrētus aspektus par plānoto ieguldījumu sagaidāmo ietekmi un efektivitāti, t.sk. faktiski sagaidāmos rezultātus/uzlabojumus. Pienesumu tautsaimniecībai atspoguļo, piemēram, izmērāma ietekme uz makroekonomisko vidi, pienesums ekonomikas transformācijai, nozaru konkurētspējai, uzņēmējdarbības videi, nodarbinātībai, kā arī ietekme uz nozaru politikas mērķiem, Latvijas Nacionālajā attīstības plānā noteiktajiem mērķiem,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2010.gada 27.aprīļa Ministru kabineta noteikumiem Nr.398 “Valsts ugunsdzēsības un glābšanas dienesta nolikums” dienests īsteno valsts politiku ugunsdrošības, ugunsdzēsības, civilās aizsardzības un vienotā ārkārtas palīdzības izsaukumu numura "112" darbības jomā. Tas ietver dažādu pasākumu kopumu, lai nodrošinātu cilvēku, vides un īpašuma drošību, kā arī īstenotu atbilstošu rīcību katastrofas un katastrofas draudu gadījumā, kas ir būtiski Latvijas noturīgai un ilgtspējīgai attīstībai un vides konkurētspējai. Arī Latvijas Nacionālajā attīstības plānā 2021. – 2027. gadam (turpmāk- NAP2027) kā viena no prioritātēm ir "Kvalitatīva dzīves vide un teritoriju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2020.gada 4.marta Ministu kabineta rīkojumam Nr. 95 “Par nozaru politikas pamatnostādnēm 2021.-2027. gada plānošanas periodam” šim plānošanas periodam vides politikas pamatnostādnes mērķis ir samazināt riskus (klimata pārmaiņu, piesārņojuma, katastrofu) cilvēku dzīves videi, veselībai un labklājībai; samazināt piesārņojumu vidē (ūdenī, gaisā, augsnē, dabā), nodrošinot labu vides stāvokli un dabas kapitāla saglabāšanu; nodrošināt ilgtspējīgu resursu patēriņu; nodrošināt ar citiem sektoriem saskaņotu vides rīcībpolitiku un vides pamatprincipu iekļaušanu sektoru politikās.  Valsts ugunsdzēsības un glābšanas dienests (turpmāk- VUGD) ne vien tiešā veidā ar savām darbībām veic klimata pārmaiņu, piesārņojuma un katastrofu risku mazināšanu, bet arī savā attīstībā paredz virkni aktivitāšu, kas ilgtermiņā veicinās šo minēto risku un ietekmes mazināšanos dienesta ietvaros. Projekta ietvaros plānots iegādāties transportlīdzekļus ievērojot VUGD darbības nodrošināšanas nepieciešamības un vides jautājumu integrētu skatījumu, kas balstās vienotā Eiropas iniciatīvā virzīties uz zaļāku Eiropu, saskaņā ar  emisiju robežvērtībām tīrajiem mazas noslodzes transportlīdzekļiem, kas atrunāti 2019.gada Eiropas parlamenta un padomes direktīvas (ES) 2019/1161 2.pielikumā.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horizontālā principa "Vienlīdzība, iekļaušana, nediskriminācija un pamattiesību ievērošana" (turpmāk - HP) īstenošanu praksē un, lai ievērotu ANO Konvencijā par personu ar invaliditāti tiesībām noteikto vienlīdzīgu iespēju un nediskrimināciijas principu, lūdzam rast iespēju papildināt sadaļu ar vispārīgo HP darbību, kas veicina personu ar invaliditāti vienlīdzīgas iespējas un tiesības aprakstu atbilstoši HP vadlīnijām [1].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“Horizontālais princips “Vienlīdzība, iekļaušana, nediskriminācija un pamattiesību ievērošana” vadlīnijas īstenošanai un uzraudzībai (2021-2027),  pieejamas: https://www.lm.gov.lv/lv/vadlinijas-horizontala-principa-vienlidziba-ieklausana-nediskriminacija-un-pamattiesibu-ieverosana-istenosanai-un-uzraudzibai-2021-2027.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tiks īstenotas darbības, kas veicina personu ar invaliditāti vienlīdzīgas iespējas un 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publicitātes un komunikācijas aktivitātes,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informācija publiskajā telpā, t.sk. tīmeklī, ir piekļūstama cilvēkiem ar funkcionāliem traucējumiem, izmantojot vairākus sensoros (redze, dzirde, tauste) kanālus (skat. VARAM vadlīnijas “Tīmekļvietnes izvērtējums atbilstoši digitālās vides piekļūstamības prasībām (WCAG 2.1 AA)” (https://pieklustamiba.varam.gov.lv /, Vadlīnijas piekļūstamības izvērtējumam pieejamas šeit: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horizontālā principa “Vienlīdzība, iekļaušana, nediskriminācija un pamattiesību ievērošana” īstenošanai un uzraudzībai (2021-2027), pasākumam nav ietekmes uz HP VINPI.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projektu īstenošanā tiek veicināta vienlīdzība, iekļaušana, nediskriminācija un  ievērotas  pamattiesības, lūdzam norādīt, ka projekta projektu iesniegumu vērtēšanā tiks piemērots HP VINPI specifiskais atbilstības kritērijs. Kritērijā tiks vērtēts, vai projekta iesniegumā ir paredzēta </w:t>
            </w:r>
            <w:r w:rsidR="00000000" w:rsidRPr="00000000" w:rsidDel="00000000">
              <w:rPr>
                <w:u w:val="single"/>
                <w:rtl w:val="0"/>
              </w:rPr>
              <w:t xml:space="preserve">vismaz viena vispārīgā HP VINPI darbība</w:t>
            </w:r>
            <w:r w:rsidR="00000000" w:rsidRPr="00000000" w:rsidDel="00000000">
              <w:rPr>
                <w:rtl w:val="0"/>
              </w:rPr>
              <w:t xml:space="preserve">, kas attiecas uz publicitāti, personālu vai publiskajiem iepirkumiem. Kritēriju var nepiemērots projektos, kuru satura dēļ nav iespējams īstenot nevienu HP VINPI darbību, jo netiek īstenota publicitāte un iepirkumi un netiek piesaistīts personāls.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pirmā posma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izstrādājot un saskaņojot vēl vienu normatīvo aktu par 2.1.3.3.pasākuma otrās kārtas otro posmu pēc būtības ar līdzīgiem nosacījumiem, aicinām Iekšlietu ministriju vērtēt iespēju izstrādāt un virzīt tomēr kompleksu noteikumu projektu 2.1.3.3.pasākuma otrās kārtas īstenošanai. Gadījumā, ja šobrīd vēl nav zināmi visi nosacījumi, kas būtu iekļaujami par otrā posma īstenošanu, tos iespējams iekļaut ar attiecīgiem grozījumiem noteikumu projektā. Lai nodrošinātu skaidru un nepārprotamu informācijas izsekojamību, t.sk. secīgi izrietošu saistošo dokumentu precizēšanu (rādītāju informācijas apkopojuma precizēšana, informācijas aktualizēšana  Kohēzijas politikas fondu vadības informācijas sistēmā u.c.), lūdzam papildināt anotāciju ar detalizētāku informāciju par plānoto pieeju otrās kārtas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izteikt noteikumu projekta nosaukumu atbilstoši Finanšu ministrijas izstrādātajām vadlīnijām Nr.1.4. “Vadlīnijas Ministru kabineta noteikumu par specifiskā atbalsta mērķa īstenošanu izstrādei Eiropas Savienības fondu 2021.—2027. gada plānošanas periodā”, kā arī precizēt saistošo informāciju noteikumu projektā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plānotā pasākuma specifikāciju, kas tiktu iekļauts kā otrās kārtas otrais posms, noteikumi ir rediģēti attiecīgi pārsaucot šo normatīvo aktu par "Eiropas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atzinumā izteiktos iebildumus un priekšlikumus, aicinām Iekšlietu ministriju izvērtēt nepieciešamību, atbilstoši Ministru kabineta 2021.gada 7.septembra noteikumu Nr.606 “Ministru kabineta kārtības rullis” 69.punktā noteiktajam, organizēt starpinstitūciju saskaņošanas sanāksmi, lai nodrošinātu operatīvāku noteikumu projekta 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nosaka, ka atbalsts pasākumā tiek sniegts granta veidā, tādejādi nodrošinot skaidru un nepārprotamu informāciju par atbalsta sniegšanas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 pasākuma otrās kārtas ietvaros atbalsts tiek sniegts granta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iznākuma rādītājs, kas jāsasniedz līdz 2024. gada 31. decembrim:  investīcijas jaunās vai jauninātās katastrofu monitoringa, gatavības, brīdinājuma un reaģēšanas sistēmās attiecībā uz dabas katastrofām sasniedz 2 250 000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vieglie transportlīdzekļi neatbilst definīcijas "investīcijām jaunās vai jauninātās katastrofu monitoringa, gatavības, brīdinājuma un reaģēšanas sistēmām attiecībā uz dabas katastrofām" tvērumam. Ņemot vērā minēto, lūdzam izvērtēt niepieciešamību precizēt iznākuma rādītāju, ņemot vērā, ka VUGD projekta ietvaros plāno iegādāties vieglos transportlīdzekļus.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rādītājs ir atbilstošs Eiropas Savienības kohēzijas politikas programmas 2021.–2027. gadam 2. Politikas mērķa iznākuma rādītājiem.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iznākuma rādītājs, kas jāsasniedz līdz 2024. gada 31. decembrim:  investīcijas jaunās vai jauninātās katastrofu monitoringa, gatavības, brīdinājuma un reaģēšanas sistēmās attiecībā uz dabas katastrofām sasniedz 2 250 000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vai MK noteikumos zemāk detalizētāk, piem., III.daļā, kāda punkta ietvaros vai atsevišķā punktā paskaidrot, ko nozīmē termins "jauninātās".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rādītājs ir iekļauts Eiropas Savienības kohēzijas politikas programmu 2021.–2027. gadam, paskaidrojuma iekļaušana MK noteikumos nav vajadzīga.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Projekta iesniedzēja un finansējuma saņēmēja funkcijas projekta īstenošanas ietvaros pilda Valsts ugunsdzēsības un glābšanas dienests.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noteikumu projekta 9.punktu šādā redakcijā: "Projekta iesniedzējs ir Valsts ugunsdzēsības un glābšanas dienests, kurš pēc projekta iesnieguma apstiprināšanas ir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ir Valsts ugunsdzēsības un glābšanas dienests, kurš pēc projekta iesnieguma apstiprināšanas ir finansējuma saņēmējs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projekta iesniegumā plāno mērķu sasniegšanu atbilstoši šo noteikumu 6. punktā noteiktajām vērtībām.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11.punktā norādīto, ka projekta iesniedzējs "nodrošina" nevis "plāno" 6.punktā norādīto rādītāju un rezultātu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projekta iesniegumā nodrošina mērķu sasniegšanu atbilstoši šo noteikumu 7. punktā noteiktajām vērtībām.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Maksimālais projekta īstenošanas ilgums ir līdz 2024.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12.punktu, nosakot, ka finansējuma saņēmējs projektu īsteno saskaņā ar vienošanos par projekta īstenošanu, bet ne ilgāk kā līdz 2024. gada 31. 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saņēmējs projektu īsteno saskaņā ar noslēgto vienošanos par projekta īstenošanu, bet ne ilgāk kā līdz 2025.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Projekta iesniedzējs sagatavo projekta iesniegumu saskaņā ar projektu iesniegumu atlases nolikuma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apvienot 10. punktu ar 13. punktu, ņemot vērā, ka punkti saturiski pārklājas. Turklāt rekomendējam MK noteikumos nedefinēt iesniedzamos dokumentus, ja vien tie nav specifiski, nozares prasības definējoši.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13.punktu piedāvājam šādā redakcijā:  "Projekta iesniedzējs sagatavo projekta iesniegumu saskaņā ar projektu iesniegumu atlases nolikuma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sagatavo projekta iesniegumu saskaņā ar projektu iesniegumu atlases nolikuma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projekta iesniegumu iesniedz elektroniski, izmantojot Kohēzijas politikas vadības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14.punktu ar vārdu "fondu" aiz vārda "politikas", ņemot vērā sistēmas nosaukumu, kas noregulēts Eiropas Savienības fondu 2021-2027.gada plānošanas perioda vadības likumā un tam pakārtotajos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projekta iesniegumu iesniedz elektroniski, izmantojot Kohēzijas politikas fondu vadības informācijas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Valsts ugunsdzēsības un glābšanas dienesta darbības nodrošināšanai nepieciešamo līdz 30 vieglo transportlīdzekļu iegāde, kura tiek īstenota saskaņā ar Eiropas Parlamenta un Padomes Direktīvas (ES)2019/1161 ar ko groza Direktīvu 2009/33/EK par “tīro” un energoefektīvo autotransporta līdzekļu izmantošanas veicināšanu 4.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noteikumu projekta 16.1.apakšpunktā noteikt konkrētu iegādājamo transportlīdzekļu skaitu, ja tomēr izveidojas apstākļi (piemēram, iepirkuma rezultātā), ka par pieejamo finansējumu var iegādāties vairāk vieglo automašīnu.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skaidri precizēt, ka atbalstāma jaunu transportlīdzekļu iegāde, kā arī saturiski precizēt, kāda veida, tipa transporta līdzekļu iegāde ir attiecināma.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informācija nepieciešama, lai gūtu pārliecību par investīciju atbilstību mērķim, mērķa grupai, kā arī pārliecinātos par tehnisko atbilstību, turklāt ņemot vērā, ka plānota ierobežota atlase, investīciju saturs pietiekami skaidri ir zināms.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Valsts ugunsdzēsības un glābšanas dienesta darbības nodrošināšanai nepieciešamo 30 jaunu M1 klases transportlīdzekļu ar emisijām, kas nepārsniedz 50 CO2 g/km, iegāde, kura tiek īstenota saskaņā ar Eiropas Parlamenta un Padomes Direktīvas (ES)2019/1161 ar ko groza Direktīvu 2009/33/EK par “tīro” un energoefektīvo autotransporta līdzekļu izmantošanas veicināšanu 4. pantu.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publicitātes pasākumu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Savienības fondus regulējošajos normatīvajos aktos lietoto jēdzienu "komunikācijas un vizuālās identitātes prasības", aicinām izvērtēt un pēc nepieciešamības precizēt noteikumu projekta 16.2. un 17.apakšpunktu. Attiecīgu precizējumu lūdzam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komunikācijas un vizuālās identitātes prasību nodrošināšana saskaņā ar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ar projekta darbībām tieši saistīto publicitātes un vizuālās identitātes pasākumu izmaksas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47. un 50. pantam un kārtībai,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noteikumu projekta 17.2.apakšpunktā  vārda "kārtībai" ar vārdiem "normatīvajiem aktiem, kas nosaka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ar projekta darbībām tieši saistīto komunikācijas un vizuālās identitātes pasākumu izmaksas, kas veiktas saskaņā ar regulas Nr.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iesniedzējs nodrošina, ka projekta iesniegumā plānotās izmaksas netiek segtas no līdzekļiem, kas paredzēti citiem specifiskiem atbalsta mērķiem Eiropas Savienības kohēzijas politikas programmas 2021.–2027.gadam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18.punktu, nosakot ka projekta iesniedzējs nodrošina demarkāciju arī ar citiem finanšu avotiem, ne tikai Eiropas Savienības kohēzijas politikas programmā 2021.–2027.gadam norādītajiem specifiskiem atbalsta mērķiem. Lūdzam atbilstošus precizējumu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Pievienotās vērtības nodoklis, kas tiešā veidā saistīts ar projektu, uzskatāms par attiecināmām izmaksām saskaņā ar regulas 2021/1060 64. panta 1. punkta “c” apakšpunktā ietvertajiem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norādot, ka tiks nodrošināts dubultā finansējuma novēršanas risks attiecībā uz pievienotās vērtības nodokļa līdzekļu attiecināšanu/atgūšanu.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Pievienotās vērtības nodoklis, kas tiešā veidā saistīts ar projektu, uzskatāms par attiecināmām izmaksām saskaņā ar regulas 2021/1060 64. panta 1. punkta “c” apakšpunktā ietvertajiem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17.2.apakšpunktā noteikto, lūdzam papildināt noteikumu projektu ar jaunu punktu, ka finansējuma saņēmējam ir pienākums ievērot publicitātes un vizuālās identitātes pasākumu nosacījumus atbilstoši regulas 2021/1060 47. un 50. pantam un normatīvajiem aktiem, kas nosaka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Projekta īstenošanas nosacījumi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Finansējuma saņēmējs projekta īstenošanai nepieciešamo preču un pakalpojumu iegādi realizē saskaņā ar publisko iepirkumu reglamentējošajiem normatīvajiem aktiem atklātā, pārredzamā, nediskriminējošā un konkurenci nodrošinošā konkursa procedūrā. Atbalstāma ir vides prasību integrācija preču un pakalpojumu iepirkumos (zaļais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projektu ar nosacījumu par sociāli atbildīga publiskā iepirkumu un inovatīvu publiskā iepirkumu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saņēmējs projekta īstenošanai nepieciešamo preču un pakalpojumu iegādi realizē saskaņā ar publisko iepirkumu reglamentējošajiem normatīvajiem aktiem atklātā, pārredzamā, nediskriminējošā un konkurenci nodrošinošā konkursa procedūrā. Atbalstāma ir vides prasību integrācija preču un pakalpojumu iepirkumos (zaļais publiskais iepirkums).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Finansējuma saņēmējam ir pienākums pirms pasākuma otrās projektu iesniegumu atlases kārtas pirmā posma izsludināšanas izstrādāt nosacījumus, kas paredz kārtību, kādā tiks nodrošināta interešu konflikta neesamība, identificēti apstākļi, kuri izraisa vai var izraisīt interešu konfliktu, kas rada apdraudējumu vai kaitējumu projekta īstenošanai, noteikti veicamie pasākumi un izstrādāti darbības plāni interešu konflikta preventīvai novēršanai un gadījumiem, kad interešu konflikts ir atklāts.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pilnveidot nosacījumu paredzot prasību, ka jānodrošina ne tikai interešu konflikta neesamība, vadība, prevencija, kompetence, bet arī izpratne par ētiku, ir nodrošinātas procedūras disciplināratbildības piemērošanai,  ir izveidots ziņošanas mehānisms kompetentajām iestādēm par potenciālu administratīvu/kriminālatbildību, ir izveidota trauksmes celšanas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Finansējuma saņēmējam ir pienākums pirms pasākuma otrās projektu iesniegumu atlases kārtas izsludināšanas izstrādāt nosacījumus, kas paredz kārtību, kādā tiks nodrošināta interešu konflikta neesamība, identificēti apstākļi, kuri izraisa vai var izraisīt interešu konfliktu vai kas rada jebkāda veida apdraudējumu vai kaitējumu projekta īstenošanai, noteikti veicamie pasākumi un izstrādāti darbības plāni preventīvai novēršanai un gadījumiem, kad interešu konflikts, krāpšana,  korupcija vai apdraudējums ir atklāts.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saņēmējs nodrošina, ka projekta īstenošanas pabeigšanas brīdī projekta ietvaros iegādātie vieglie transportlīdzekļi ir ieviesti produktīvajā darbībā atbilstoši apstiprinātajam projekta iesniegumam.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ko nozīmē "ieviesti produktīvajā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Transportlīdzekļi piegādes brīdī būs reģistrēti CSDD uz Valsts ugunsdzēsības un glābšanas dienesta vārda, kas ir apliecinājums projektā plānotās darbības realizācijai.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nodrošina, ka projekta īstenošanas pabeigšanas brīdī projekta ietvaros iegādātie vieglie transportlīdzekļi ir ieviesti produktīvajā darbībā atbilstoši apstiprinātajam projekta iesniegumam.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biedrību, nodibinājumu, nevalstisko organizāciju iesaisti normatīvā akta izstrādes procesā. Vienlaikus vēršam uzmanību un aicinām ņemt vērā arī Ministru Prezidenta 2021.gada 7.septembra rezolūcijā Nr. 2021-1.1.1./50-50 noteikto: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“Sabiedrības līdzdalība” tika norādīta sekojoša informācija: “Lai nodrošinātu sabiedrības līdzdalību, no 2023. gada  24. augusta līdz 7. septembrim TAP portālā sabiedrībai bija iespēja piedalīties MK noteikumu un to anotācijas publiskā apspriešanā. Šajā laika periodā netika saņemts neviens iebildums vai priekšlikums.”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apakšsadaļā "Risinājuma apraksts" norādīto informāciju par projektu iesniegumu vērtēšanas kritēriju metodiku, ņemot vērā, ka minētā metodika Uzraudzības komitejā netiek apstiprināta.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metodika tiks nosūtīta apstiprināšanai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pie “Risinājuma apraksts” (4. lpp) nekorekti norādīto valsts budžeta līdzfinansējuma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nodrošināt skaidrojumus par MK noteikumos paredzēto, nepārrakstot un nedublējot MK noteikumu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 sadaļas 6. punktā norādīt arī projekta īstenošanai pieejamo kopējo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anotācijas 3. sadaļas 5.1. apakšpunktā 2024., 2025. un 2026. gada ailēs “izmaiņas, salīdzinot ar vidēja termiņa budžeta ietvaru” norādīt to pašu finansējumu, kas norādīts attiecīgajās ailēs 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23-TA-1151</w:t>
    </w:r>
    <w:r>
      <w:br/>
    </w:r>
    <w:r w:rsidR="00000000" w:rsidRPr="00000000" w:rsidDel="00000000">
      <w:rPr>
        <w:rtl w:val="0"/>
      </w:rPr>
      <w:t xml:space="preserve">18.12.2023. 16.42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23-TA-1151</w:t>
    </w:r>
    <w:r>
      <w:br/>
    </w:r>
    <w:r w:rsidR="00000000" w:rsidRPr="00000000" w:rsidDel="00000000">
      <w:rPr>
        <w:rtl w:val="0"/>
      </w:rPr>
      <w:t xml:space="preserve">18.12.2023. 16.42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Izziņa_23-TA-1151.docx</dc:title>
</cp:coreProperties>
</file>

<file path=docProps/custom.xml><?xml version="1.0" encoding="utf-8"?>
<Properties xmlns="http://schemas.openxmlformats.org/officeDocument/2006/custom-properties" xmlns:vt="http://schemas.openxmlformats.org/officeDocument/2006/docPropsVTypes"/>
</file>