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23-TA-915: Likumprojekts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Maksājumu pakalpojumu un elektroniskās naudas likumā</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(LFNA - 26.05.2023.)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nozares asociācija (turpmāk – Asociācija) ir iepazinusies ar Finanšu ministrijas sagatavoto pamatojumu Asociācijas izteiktā iebilduma neņemšanai vērā un informē, ka nesaskata argumentus iebilduma noraidīšanai pilnībā.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Asociācija atkārtoti uzsver, ka praksē ir situācijas, kad kredītiestāde nevar norādīt uz konkrētu normatīvo aktu pārkāpumu konta atvēršanas brīdī.  Tomēr klienta apkalpošanā, pat ievērojot visus saprātīgi pieejamos klienta un tā darījumu uzraudzības mehānismus, kredītiestāde nevar pilnībā saprātīgi vadīt visus iespējamos riskus saistībā ar sankciju un noziedzīgi iegūtu līdzekļu legalizācijas un terorisma finansēšanas novēršanas  jomas regulējuma prasībām, kā arī noteikti paredzamo negatīvo reakciju no arvalstu korespondentbankām vai ārvalstu kompetentajām institūcijām.  </w:t>
            </w:r>
            <w:r w:rsidR="00000000" w:rsidRPr="00000000" w:rsidDel="00000000">
              <w:rPr>
                <w:b w:val="1"/>
                <w:rtl w:val="0"/>
              </w:rPr>
              <w:t xml:space="preserve">Pievēršam uzmanību, ka raita un nekavēta </w:t>
            </w:r>
            <w:r w:rsidR="00000000" w:rsidRPr="00000000" w:rsidDel="00000000">
              <w:rPr>
                <w:rtl w:val="0"/>
              </w:rPr>
              <w:t xml:space="preserve">s</w:t>
            </w:r>
            <w:r w:rsidR="00000000" w:rsidRPr="00000000" w:rsidDel="00000000">
              <w:rPr>
                <w:b w:val="1"/>
                <w:rtl w:val="0"/>
              </w:rPr>
              <w:t xml:space="preserve">adarbība ar korespondentbankām, kas ir kritiski nepieciešama maksājumu dažādās ārvalstu valūtās apkalpošanai, iespējama tikai ievērojot šo korespondentbanku noteiktās sankciju un noziedzīgi iegūtu līdzekļu legalizācijas un terorisma novēršanas risku pārvaldīšanas regulējuma prasības un ka </w:t>
            </w:r>
            <w:r w:rsidR="00000000" w:rsidRPr="00000000" w:rsidDel="00000000">
              <w:rPr>
                <w:b w:val="1"/>
                <w:u w:val="single"/>
                <w:rtl w:val="0"/>
              </w:rPr>
              <w:t xml:space="preserve">tās var būt un vairumā gadījumu arī ir stingrākas kā Latvijas tiesību aktos noteiktās</w:t>
            </w:r>
            <w:r w:rsidR="00000000" w:rsidRPr="00000000" w:rsidDel="00000000">
              <w:rPr>
                <w:b w:val="1"/>
                <w:rtl w:val="0"/>
              </w:rPr>
              <w:t xml:space="preserve">.</w:t>
            </w:r>
            <w:r w:rsidR="00000000" w:rsidRPr="00000000" w:rsidDel="00000000">
              <w:rPr>
                <w:rtl w:val="0"/>
              </w:rPr>
              <w:t xml:space="preserve"> Neievērojot attiecīgās prasības, radām augstu, pat nevadāmu risku, ka kredītiestādes sadarbības partneri vai pakalpojumu nodrošinātāji pārtrauc pakalpojumu sniegšanu. Tas būtiski, dažkārt pat neatgriezeniski,  negatīvi ietekmē pašas kredītiestādes nepārtaruktu darbību vai, kas ir ne mazāk svarīgi, tās spēju turpināt kredītiestādes pakalpojumu raitu sniegšanu tās klientiem. Minētais risks drošticami pārsniedz “pieļaujamu iespējamību” un </w:t>
            </w:r>
            <w:r w:rsidR="00000000" w:rsidRPr="00000000" w:rsidDel="00000000">
              <w:rPr>
                <w:b w:val="1"/>
                <w:u w:val="single"/>
                <w:rtl w:val="0"/>
              </w:rPr>
              <w:t xml:space="preserve">rada reālus draudus korespondentbanku sadarbības pārtraukšanai ar Latvijas finanšu iestādēm, ievērojot katra gadījuma konkrētos apstākļus</w:t>
            </w:r>
            <w:r w:rsidR="00000000" w:rsidRPr="00000000" w:rsidDel="00000000">
              <w:rPr>
                <w:rtl w:val="0"/>
              </w:rPr>
              <w:t xml:space="preserve">.  Tādējādi ir samērīgi un pamatoti atteikt pamatkonta pakalpojumu patērētājam, jo tiek aizsargātas kredītiestādes visu klientu, tās klientu kopoma intereses.  Lielu skaitu Latvijas klientu apkalpojošu kredītiestāžu, kas tādējādi ir sistēmiski nozīmīgas finanšu iestādes, aizsargāta arī visas Latvijas finanšu sistēmas stabilitāte, kā arī raita, nekavēta tās un norēķinu sistēmas darbība.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Asociācija atkārtoti aicina Finanšu ministriju nodrošināt vismaz Likumprojekta anotācijas papildināšanu, paskaidrojot līdzšinējā tiesiskā regulējuma pielietojamības pamatotību, tādējādi arī nostiprinot un sniedzot pilnvērtīgu informāciju par iespējamajām sekām būtiskam skaitam Latvijas kredītiestāžu klientu attiecīgo, spēkā esošo un piemērojamo, regulējumu (tiesību normu) izslēdzot no likuma.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Latvijas Finanšu nozares asociācijas iebildumam ir papildināta likumprojekta anotācija nosakot, ka likuma 97.</w:t>
            </w:r>
            <w:r w:rsidR="00000000" w:rsidRPr="00000000" w:rsidDel="00000000">
              <w:rPr>
                <w:vertAlign w:val="superscript"/>
                <w:rtl w:val="0"/>
              </w:rPr>
              <w:t xml:space="preserve">2</w:t>
            </w:r>
            <w:r w:rsidR="00000000" w:rsidRPr="00000000" w:rsidDel="00000000">
              <w:rPr>
                <w:rtl w:val="0"/>
              </w:rPr>
              <w:t xml:space="preserve"> panta septītās daļas 3. punktā ietvertais nosacījums, ka kredītiestāde ir tiesīga atteikt pamatkonta atvēršanu, ja maksājumu konta atvēršana vai apkalpošana var radīt kredītiestādei reputācijas riskus, un likuma 97.</w:t>
            </w:r>
            <w:r w:rsidR="00000000" w:rsidRPr="00000000" w:rsidDel="00000000">
              <w:rPr>
                <w:vertAlign w:val="superscript"/>
                <w:rtl w:val="0"/>
              </w:rPr>
              <w:t xml:space="preserve">5</w:t>
            </w:r>
            <w:r w:rsidR="00000000" w:rsidRPr="00000000" w:rsidDel="00000000">
              <w:rPr>
                <w:rtl w:val="0"/>
              </w:rPr>
              <w:t xml:space="preserve"> panta trešās daļas 5. punktā ietvertais nosacījums, ka kredītiestāde ir tiesīga izbeigt pamatkonta standartlīgumu, ja maksājumu konta uzturēšana rada kredītiestādei reputācijas riskus, likumā tika iestrādāts ar 2017. gada 2. marta likumu “Grozījumi Maksājumu pakalpojumu un elektroniskās naudas likumā”. Minētais likums tika izstrādāts, lai transponētu tajā MP direktīvu (grozījumu anotācija pieejama: https://titania.saeima.lv/LIVS12/SaeimaLIVS12.nsf/0/C70874C9D274BC48C2258034002D332B?OpenDocument#b ).  Šāds likuma  97.</w:t>
            </w:r>
            <w:r w:rsidR="00000000" w:rsidRPr="00000000" w:rsidDel="00000000">
              <w:rPr>
                <w:vertAlign w:val="superscript"/>
                <w:rtl w:val="0"/>
              </w:rPr>
              <w:t xml:space="preserve">2</w:t>
            </w:r>
            <w:r w:rsidR="00000000" w:rsidRPr="00000000" w:rsidDel="00000000">
              <w:rPr>
                <w:rtl w:val="0"/>
              </w:rPr>
              <w:t xml:space="preserve"> panta septītās daļas 3. punkta un 97.</w:t>
            </w:r>
            <w:r w:rsidR="00000000" w:rsidRPr="00000000" w:rsidDel="00000000">
              <w:rPr>
                <w:vertAlign w:val="superscript"/>
                <w:rtl w:val="0"/>
              </w:rPr>
              <w:t xml:space="preserve">5</w:t>
            </w:r>
            <w:r w:rsidR="00000000" w:rsidRPr="00000000" w:rsidDel="00000000">
              <w:rPr>
                <w:rtl w:val="0"/>
              </w:rPr>
              <w:t xml:space="preserve"> panta trešās daļas 5. punkta  regulējums tika izstrādāts, ņemot vērā šī pakalpojuma klientu mērķgrupas paaugstināto sankciju risku kā papildu gadījumu, kad kredītiestādēm ir tiesības atteikt atvērt vai vienpusēji izbeigt līgumu par pamatkontu.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(LFNA - 19.05.2023.)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Finanšu nozares asociācija ir izskatījusi Finanšu ministrijas sagatavoto likumprojektu “Grozījumi Maksājumu pakalpojumu un elektroniskās naudas likumā” (turpmāk – Likumprojekts) un informē, ka nesaskaņo to izsakot sekojošu iebildumu.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4. un 5. pants paredz izslēgt Maksājumu pakalpojumu un elektroniskās naudas likuma 97.</w:t>
            </w:r>
            <w:r w:rsidR="00000000" w:rsidRPr="00000000" w:rsidDel="00000000">
              <w:rPr>
                <w:vertAlign w:val="superscript"/>
                <w:rtl w:val="0"/>
              </w:rPr>
              <w:t xml:space="preserve">2</w:t>
            </w:r>
            <w:r w:rsidR="00000000" w:rsidRPr="00000000" w:rsidDel="00000000">
              <w:rPr>
                <w:rtl w:val="0"/>
              </w:rPr>
              <w:t xml:space="preserve"> panta septītās daļas 3.punktu un 97.</w:t>
            </w:r>
            <w:r w:rsidR="00000000" w:rsidRPr="00000000" w:rsidDel="00000000">
              <w:rPr>
                <w:vertAlign w:val="superscript"/>
                <w:rtl w:val="0"/>
              </w:rPr>
              <w:t xml:space="preserve">5</w:t>
            </w:r>
            <w:r w:rsidR="00000000" w:rsidRPr="00000000" w:rsidDel="00000000">
              <w:rPr>
                <w:rtl w:val="0"/>
              </w:rPr>
              <w:t xml:space="preserve"> panta trešās daļas 5.punktu, tādejādi nosakot, ka turpmāk kā pamats kredītiestādei atteikt pamatkonta atvēršanu vai pārtraukt standartlīgumu par pamatkonta pakalpojumu vairs nebūs piemērojams apstāklis, ka maksājumu konta atvēršana vai apkalpošana var radīt kredītiestādei reputācijas riskus.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Eiropas Parlamenta un Padomes direktīvas 2014/92/ES (2014. gada 23. jūlijs) par maksājumu kontu tarifu salīdzināmību, maksājumu kontu maiņu un piekļuvi maksājumu kontiem ar pamatfunkcijām 16.panta 6.daļa paredz dalībvalstu tiesības noteikt ierobežotus un konkrētus papildu gadījumus, kad kredītiestādēm ir jānoraida vai tās var noraidīt pieteikumu maksājumu kontam ar pamatfunkcijām, kā arī šobrīd nav saņemta informācija, ka Eiropas Komisija būtu uzsākusi pārkāpuma procedūru par neatbilstošu direktīvas ieviešanu Latvijas nacionālajos tiesību aktos, ir būtiski saglabāt reputācijas risku kā iemeslu pamatkonta pakalpojuma nesniegšanai, lai aizsargātu kredītiestāžu un finanšu tirgus intereses gadījumos, kur var nebūt konstatējams tiešs normatīvo aktu pārkāpums, tomēr pastāv sankciju, negatīvas ietekmes uz korespondentattiecībām, vai līdzīgu nelabvēlīgu seku risks.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nozares asociācija vērš uzmanību, ka praksē pastāv situācijas, kur kredītiestāde nevar norādīt uz konkrētu normatīvo aktu pārkāpumu konta atvēršanas brīdī, tomēr klienta apkalpošana pat ievērojot visus saprātīgi pieejamos klienta un tā darījumu uzraudzības mehānismus, neļauj kredītiestādei pilnībā novērst visus iespējamos riskus saistībā ar sankciju un noziedzīgi iegūtu līdzekļu legalizācijas un terorisma finansēšanas novēršanas  jomas regulējuma prasībām un iespējamo negatīvo reakciju no korespondentbankām vai ārvalstu institūcijām.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Jāņem vērā, ka sadarbība ar korespondentbankām, kas ir kritiski nepieciešama maksājumu dažādās ārvalstu valūtās apkalpošanai, ir iespējama tikai ievērojot šo korespondentbanku noteiktās sankciju un noziedzīgi iegūtu līdzekļu legalizācijas un terorisma novēršanas risku pārvaldīšanas un jomu regulējuma ievērošanas prasības un ka tās var būt stingrākas kā Latvijas Republikas tiesību aktos definētās.  Neievērojot attiecīgās prasības rodas risks, ka kredītiestādes sadarbības partneri vai pakalpojumu nodrošinātāji pārtrauc pakalpojumu sniegšanu un šāda pakalpojumu sniegšanas pārtraukšana var atstāt būtisku negatīvu ietekmi uz kredītiestādes darbību vai spēju turpināt kredītiestādes pakalpojumu sniegšanu.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iepriekš aprakstītajā gadījumā ir samērīgi atteikt pamatkonta pakalpojumu patērētājam, jo tādejādi tiek aizsargātas kredītiestādes klientu intereses, kā arī atsevišķu kredītiestāžu, kas ir sistēmiski nozīmīgas bankas gadījumā arī visas valsts finanšu sistēmas stabilitāte.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aicinām saglabāt šādu kredītiestāžu spēju kontrolēt savu riskus saistībā ar korespondentbanku un citu pakalpojumu sniedzēju prasību ievērošanu, izslēdzot no Likumprojekta 4. un 5.pantu vai piedāvājot alternatīvas, sekojošas redakcijas, konkretizējot un aprobežojot atteikuma vai slēgšanas gadījumus ar konkrētu seku iestāšanās iespēju: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97.</w:t>
            </w:r>
            <w:r w:rsidR="00000000" w:rsidRPr="00000000" w:rsidDel="00000000">
              <w:rPr>
                <w:vertAlign w:val="superscript"/>
                <w:rtl w:val="0"/>
              </w:rPr>
              <w:t xml:space="preserve">2</w:t>
            </w:r>
            <w:r w:rsidR="00000000" w:rsidRPr="00000000" w:rsidDel="00000000">
              <w:rPr>
                <w:rtl w:val="0"/>
              </w:rPr>
              <w:t xml:space="preserve"> panta septītās daļas 3.punktu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“3) maksājumu konta atvēršanas vai apkalpošanas rezultātā pastāv risks, ka kredītiestādes sadarbības partneri vai pakalpojumu nodrošinātāji pārtrauc pakalpojumu sniegšanu kredītiestādei un šāda pakalpojumu sniegšanas pārtraukšana atstātu būtisku negatīvu ietekmi uz kredītiestādes darbību vai spēju turpināt kredītiestādes pakalpojumu sniegšanu.”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un 97.</w:t>
            </w:r>
            <w:r w:rsidR="00000000" w:rsidRPr="00000000" w:rsidDel="00000000">
              <w:rPr>
                <w:vertAlign w:val="superscript"/>
                <w:rtl w:val="0"/>
              </w:rPr>
              <w:t xml:space="preserve">5</w:t>
            </w:r>
            <w:r w:rsidR="00000000" w:rsidRPr="00000000" w:rsidDel="00000000">
              <w:rPr>
                <w:rtl w:val="0"/>
              </w:rPr>
              <w:t xml:space="preserve"> panta trešās daļas 5.punktu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“5) maksājumu konta atvēršanas vai apkalpošanas rezultātā pastāv risks, ka kredītiestādes sadarbības partneri vai pakalpojumu nodrošinātāji pārtrauc pakalpojumu sniegšanu kredītiestādei un šāda pakalpojumu sniegšanas pārtraukšana atstātu būtisku negatīvu ietekmi uz kredītiestādes darbību vai spēju turpināt kredītiestādes pakalpojumu sniegšanu.”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šāds papildinājums Maksājumu pakalpojumu un elektroniskās naudas likumā automātiski nenozīmētu, ka potenciālais pamatkonta klients nevarētu piekļūt pamatkonta pakalpojumiem nevienā no kredītiestādēm, jo ne visas kredītiestādes izmanto korespondentattiecības piemēram ar USD valūtas maksājumu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Finanšu nozares asociācija vērš uzmanību, ka reputācijas kritērijs ir skaidrots Finanšu un kapitāla tirgus komisijas sadarbībā ar Patērētāju tiesību aizsardzības centru un Finanšu nozares asociāciju sagatavotajā 2020.gada 8.septembra skaidrojumā. Kā arī Maksājumu pakalpojumu un elektroniskās naudas likums paredz, ka pamatkonta atteikuma gadījumā, tostarp reputācijas riska dēļ, atteikuma tiesiskumu pārbauda Patērētāju tiesību aizsardzības centrs. Esošais regulējums nodrošina pietiekamu aizsardzību patērētājiem pret nepamatotiem kredītiestādes lēmumiem. Ja kredītiestāde nespēj pamatot reputācijas riska reālu iestāšanās iespēju, Patērētāju tiesību aizsardzības centrs var uzdot mainīt lēmumu par pamatkonta nodrošināšanu. Līdz ar to jau šobrīd ir novērsta iespēja, ka kredītiestādes esošo normatīvo regulējumu varētu izmantot pretēji tā jēgai un mērķim.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ja Finanšu ministrija nesaskata iespēju ņemt vērā Finanšu nozares asociācijas iebildumā izteikto ierosinājumu, aicinām, paskaidrojot līdzšinējā tiesiskā regulējuma pielietojamības pamatotību, papildināt Likumprojekta anotāciju ar augstākminēto skaidrojumu par līdzšinējā regulējuma būtību.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Finanšu nozares asociācijas (turpmāk - LFNA) viedoklis ka ir iespējams paplašināt gadījumus, kad personai var atteikt pamatkonta lūgumu, nav atbalstāms.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 Eiropas Parlamenta un Padomes 2014. gada 23. jūlija direktīvas 2014/92/ES  par maksājumu kontu tarifu salīdzināmību, maksājumu kontu maiņu un piekļuvi maksājumu kontiem ar pamatfunkcijām  (turpmāk – MP direktīva), preambulas 47.apsvērumā minēts, ka kredītiestādēm būtu jāatsakās atvērt maksājumu kontu vai būtu jāizbeidz līgums par maksājumu kontu ar pamatfunkcijām tikai īpašos apstākļos, piemēram, to tiesību aktu neievērošanas gadījumā, kuri attiecas uz noziedzīgi iegūtu līdzekļu legalizācijas un terorisma finansēšanas novēršanu vai uz noziegumu novēršanu un izmeklēšanu. Pat minētajos gadījumos atteikums ir pamatots tikai gadījumā, ja patērētājs neievēro minētos tiesību aktus, un nevis tāpēc, ka tiesību aktu ievērošanas pārbaudes procedūra ir pārāk apgrūtinoša vai dārga. Arī MP direktīvas 16.pants nosaka konkrētus gadījumus, kad pamatkonta atvēršana būtu pieļaujama un paredz dalībvalstīm tikai atsevišķus papildus gadījumus, kad iespējams noteikt papildus izņēmumus, proti, ja to mērķis ir vai nu veicināt patērētāja bezmaksas piekļuvi maksājumu kontam ar pamatfunkcijām, vai izvairīties no gadījumiem, kad patērētāji ļaunprātīgi izmanto savas tiesības piekļūt maksājumu kontam ar pamatfunkcijām.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Neskatoties uz to vai ir ierosināta pārkāpuma procedūra, dalībvalstij konstatējot, ka ieviestais regulējums neatbilst direktīvā noteiktajam, ir jāveic atbilstoši grozījumu nacionālajā regulējumā.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riskiem minams, ka Noziedzīgi iegūtu līdzekļu legalizācijas un terorisma un proliferācijas novēršanas likuma 11.</w:t>
            </w:r>
            <w:r w:rsidR="00000000" w:rsidRPr="00000000" w:rsidDel="00000000">
              <w:rPr>
                <w:vertAlign w:val="superscript"/>
                <w:rtl w:val="0"/>
              </w:rPr>
              <w:t xml:space="preserve">1</w:t>
            </w:r>
            <w:r w:rsidR="00000000" w:rsidRPr="00000000" w:rsidDel="00000000">
              <w:rPr>
                <w:rtl w:val="0"/>
              </w:rPr>
              <w:t xml:space="preserve"> panta ceturtās daļas 5.punkts paredz pamatkontu kā risku pazeminošu faktoru. Tāpat ņemot vērā MP direktīvas preambulas 34. un 35. apsvērumā minēto, atšķirībā no citiem pakalpojumiem, pamatkonta pakalpojuma sniegšanas ierobežošana nav pieļaujama balstoties tikai uz klienta noziedzīgi iegūtu līdzekļu legalizācijas un terorisma un proliferācijas finansēšanas  riska līmeni.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norādāms, ka sankciju (gan Eiropas Savienības, gan, piemēram, Ziemeļatlantijas līguma organizācijas dalībvalsts sankcijas, piemēram, OFAC)  regulējums neparedz ierobežojumus pamatkonta atvēršanai sankcijām pakļautai personai. Arī Eiropas Savienības un Ziemeļatlantijas līguma organizācijas dalībvalsts sankcijas paredz izņēmumus, kad finanšu pakalpojumus sankcijās pakļautai personai drīkst sniegt (piemēram, Eiropas Savienības sankciju gadījumā – ar kompetentās iestādes atļauju, ja pakalpojums ietverts izņēmumā, ko pieļauj konkrētā regula, bet Ziemeļatlantijas līguma  organizācijas dalībvalsts sankciju gadījumā – ja ir Latvijas Bankas atļauja, tostarp vispārējais saskaņojums). Saskaņā ar Latvijas Bankas sniegto informāciju, jau šobrīd Latvijas Banka ir sniegusi vairākas atļaujas atbilstoši Eiropas Savienības sankcijām. Savukārt attiecībā uz Ziemeļatlantijas līguma organizācijas dalībvalsts sankcijām pakļautām personām Latvijas Banka ir izdevusi vispārējo saskaņojumu, tādējādi atļaujot bez atsevišķas Latvijas Bankas atļaujas saņemšanas sniegt finanšu pakalpojumus un izpildīt finanšu darījumus personām, kas pakļautas Ziemeļatlantijas līguma dalībvalsts sankcijām, pamatvajadzību segšanai (fizisko personu un fizisko personu apgādājamo ģimenes locekļu pamatvajadzībām vai juridisko personu pamata saimnieciskajai darbībai). Ievērojot noteikto mehānismu ir iespējama pamatkonta atvēršana un apkalpošana arī sankciju režīmam pakļautām personām.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attiecībā uz LFNA piedāvāto Maksājumu pakalpojumu un elektroniskās naudas likuma 97.</w:t>
            </w:r>
            <w:r w:rsidR="00000000" w:rsidRPr="00000000" w:rsidDel="00000000">
              <w:rPr>
                <w:vertAlign w:val="superscript"/>
                <w:rtl w:val="0"/>
              </w:rPr>
              <w:t xml:space="preserve">2</w:t>
            </w:r>
            <w:r w:rsidR="00000000" w:rsidRPr="00000000" w:rsidDel="00000000">
              <w:rPr>
                <w:rtl w:val="0"/>
              </w:rPr>
              <w:t xml:space="preserve"> panta septītās daļas 3.punkta un 97.</w:t>
            </w:r>
            <w:r w:rsidR="00000000" w:rsidRPr="00000000" w:rsidDel="00000000">
              <w:rPr>
                <w:vertAlign w:val="superscript"/>
                <w:rtl w:val="0"/>
              </w:rPr>
              <w:t xml:space="preserve">5</w:t>
            </w:r>
            <w:r w:rsidR="00000000" w:rsidRPr="00000000" w:rsidDel="00000000">
              <w:rPr>
                <w:rtl w:val="0"/>
              </w:rPr>
              <w:t xml:space="preserve"> panta trešās daļas 5.punkta redakciju, norādāms, ka arī minētajā situācijā atteikuma pamatojumam būtu jābūt cēloņsakarīgi pamatotam ar reālu draudu sadarbības pārtraukšanai un būtisko ietekmi uz kredītiestādes spēju turpināt darbību, nevis tikai pieļaujamu iespējamību.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(LFNA - 26.05.2023.)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nozares asociācija (turpmāk – Asociācija) ir iepazinusies ar Finanšu ministrijas sagatavoto pamatojumu Asociācijas izteiktā iebilduma neņemšanai vērā un informē, ka nesaskata argumentus iebilduma noraidīšanai pilnībā.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Asociācija atkārtoti uzsver, ka praksē pastāv situācijas, kur kredītiestāde nevar norādīt uz konkrētu normatīvo aktu pārkāpumu konta atvēršanas brīdī, tomēr klienta apkalpošana pat ievērojot visus saprātīgi pieejamos klienta un tā darījumu uzraudzības mehānismus, neļauj kredītiestādei pilnībā novērst visus iespējamos riskus saistībā ar sankciju un noziedzīgi iegūtu līdzekļu legalizācijas un terorisma finansēšanas novēršanas  jomas regulējuma prasībām un iespējamo negatīvo reakciju no korespondentbankām vai ārvalstu institūcijām. </w:t>
            </w:r>
            <w:r w:rsidR="00000000" w:rsidRPr="00000000" w:rsidDel="00000000">
              <w:rPr>
                <w:b w:val="1"/>
                <w:rtl w:val="0"/>
              </w:rPr>
              <w:t xml:space="preserve">Sadarbība ar korespondentbankām, kas ir kritiski nepieciešama maksājumu dažādās ārvalstu valūtās apkalpošanai, ir iespējama tikai ievērojot šo korespondentbanku noteiktās sankciju un noziedzīgi iegūtu līdzekļu legalizācijas un terorisma novēršanas risku pārvaldīšanas un jomu regulējuma ievērošanas prasības un ka </w:t>
            </w:r>
            <w:r w:rsidR="00000000" w:rsidRPr="00000000" w:rsidDel="00000000">
              <w:rPr>
                <w:b w:val="1"/>
                <w:u w:val="single"/>
                <w:rtl w:val="0"/>
              </w:rPr>
              <w:t xml:space="preserve">tās var būt stingrākas kā Latvijas Republikas tiesību aktos definētās</w:t>
            </w:r>
            <w:r w:rsidR="00000000" w:rsidRPr="00000000" w:rsidDel="00000000">
              <w:rPr>
                <w:b w:val="1"/>
                <w:rtl w:val="0"/>
              </w:rPr>
              <w:t xml:space="preserve">.</w:t>
            </w:r>
            <w:r w:rsidR="00000000" w:rsidRPr="00000000" w:rsidDel="00000000">
              <w:rPr>
                <w:rtl w:val="0"/>
              </w:rPr>
              <w:t xml:space="preserve"> Neievērojot attiecīgās prasības rodas risks, ka kredītiestādes sadarbības partneri vai pakalpojumu nodrošinātāji pārtrauc pakalpojumu sniegšanu un šāda pakalpojumu sniegšanas pārtraukšana var atstāt būtisku negatīvu ietekmi uz kredītiestādes darbību vai spēju turpināt kredītiestādes pakalpojumu sniegšanu. Minētais risks var arī pārsniegt “pieļaujamu iespējamību” un </w:t>
            </w:r>
            <w:r w:rsidR="00000000" w:rsidRPr="00000000" w:rsidDel="00000000">
              <w:rPr>
                <w:b w:val="1"/>
                <w:u w:val="single"/>
                <w:rtl w:val="0"/>
              </w:rPr>
              <w:t xml:space="preserve">radīt reālus draudus sadarbības pārtraukšanai, atkarībā no konkrētās situācijas</w:t>
            </w:r>
            <w:r w:rsidR="00000000" w:rsidRPr="00000000" w:rsidDel="00000000">
              <w:rPr>
                <w:rtl w:val="0"/>
              </w:rPr>
              <w:t xml:space="preserve">.  Iepriekš aprakstītajā gadījumā ir samērīgi atteikt pamatkonta pakalpojumu patērētājam, jo tādejādi tiek aizsargātas kredītiestādes klientu intereses, kā arī atsevišķu kredītiestāžu, kas ir sistēmiski nozīmīgas bankas gadījumā arī visas valsts finanšu sistēmas stabilitāte.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iepriekš minēto, Asociācija atkārtoti aicina Finanšu ministriju nodrošināt vismaz Likumprojekta anotācijas papildināšanu paskaidrojot līdzšinējā tiesiskā regulējuma pielietojamības pamatotību, tādejādi arī nostiprinot pilnvērtīgi izpratni par sekām attiecīgo regulējumu svītrojot.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Latvijas Finanšu nozares asociācijas iebildumam ir papildināta likumprojekta anotācija nosakot, ka likuma 97.</w:t>
            </w:r>
            <w:r w:rsidR="00000000" w:rsidRPr="00000000" w:rsidDel="00000000">
              <w:rPr>
                <w:vertAlign w:val="superscript"/>
                <w:rtl w:val="0"/>
              </w:rPr>
              <w:t xml:space="preserve">2</w:t>
            </w:r>
            <w:r w:rsidR="00000000" w:rsidRPr="00000000" w:rsidDel="00000000">
              <w:rPr>
                <w:rtl w:val="0"/>
              </w:rPr>
              <w:t xml:space="preserve"> panta septītās daļas 3. punktā ietvertais nosacījums, ka kredītiestāde ir tiesīga atteikt pamatkonta atvēršanu, ja maksājumu konta atvēršana vai apkalpošana var radīt kredītiestādei reputācijas riskus, un likuma 97.</w:t>
            </w:r>
            <w:r w:rsidR="00000000" w:rsidRPr="00000000" w:rsidDel="00000000">
              <w:rPr>
                <w:vertAlign w:val="superscript"/>
                <w:rtl w:val="0"/>
              </w:rPr>
              <w:t xml:space="preserve">5</w:t>
            </w:r>
            <w:r w:rsidR="00000000" w:rsidRPr="00000000" w:rsidDel="00000000">
              <w:rPr>
                <w:rtl w:val="0"/>
              </w:rPr>
              <w:t xml:space="preserve"> panta trešās daļas 5. punktā ietvertais nosacījums, ka kredītiestāde ir tiesīga izbeigt pamatkonta standartlīgumu, ja maksājumu konta uzturēšana rada kredītiestādei reputācijas riskus, likumā tika iestrādāts ar 2017. gada 2. marta likumu “Grozījumi Maksājumu pakalpojumu un elektroniskās naudas likumā”. Minētais likums tika izstrādāts, lai transponētu tajā MP direktīvu (grozījumu anotācija pieejama: https://titania.saeima.lv/LIVS12/SaeimaLIVS12.nsf/0/C70874C9D274BC48C2258034002D332B?OpenDocument#b ).  Šāds likuma  97.</w:t>
            </w:r>
            <w:r w:rsidR="00000000" w:rsidRPr="00000000" w:rsidDel="00000000">
              <w:rPr>
                <w:vertAlign w:val="superscript"/>
                <w:rtl w:val="0"/>
              </w:rPr>
              <w:t xml:space="preserve">2</w:t>
            </w:r>
            <w:r w:rsidR="00000000" w:rsidRPr="00000000" w:rsidDel="00000000">
              <w:rPr>
                <w:rtl w:val="0"/>
              </w:rPr>
              <w:t xml:space="preserve"> panta septītās daļas 3. punkta un 97.</w:t>
            </w:r>
            <w:r w:rsidR="00000000" w:rsidRPr="00000000" w:rsidDel="00000000">
              <w:rPr>
                <w:vertAlign w:val="superscript"/>
                <w:rtl w:val="0"/>
              </w:rPr>
              <w:t xml:space="preserve">5</w:t>
            </w:r>
            <w:r w:rsidR="00000000" w:rsidRPr="00000000" w:rsidDel="00000000">
              <w:rPr>
                <w:rtl w:val="0"/>
              </w:rPr>
              <w:t xml:space="preserve"> panta trešās daļas 5. punkta  regulējums tika izstrādāts, ņemot vērā šī pakalpojuma klientu mērķgrupas paaugstināto sankciju risku kā papildu gadījumu, kad kredītiestādēm ir tiesības atteikt atvērt vai vienpusēji izbeigt līgumu par pamatkontu.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(LFNA - 19.05.2023.)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Finanšu nozares asociācija ir izskatījusi Finanšu ministrijas sagatavoto likumprojektu “Grozījumi Maksājumu pakalpojumu un elektroniskās naudas likumā” (turpmāk – Likumprojekts) un informē, ka nesaskaņo to izsakot sekojošu iebildumu.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4. un 5. pants paredz izslēgt Maksājumu pakalpojumu un elektroniskās naudas likuma 97.</w:t>
            </w:r>
            <w:r w:rsidR="00000000" w:rsidRPr="00000000" w:rsidDel="00000000">
              <w:rPr>
                <w:vertAlign w:val="superscript"/>
                <w:rtl w:val="0"/>
              </w:rPr>
              <w:t xml:space="preserve">2</w:t>
            </w:r>
            <w:r w:rsidR="00000000" w:rsidRPr="00000000" w:rsidDel="00000000">
              <w:rPr>
                <w:rtl w:val="0"/>
              </w:rPr>
              <w:t xml:space="preserve"> panta septītās daļas 3.punktu un 97.</w:t>
            </w:r>
            <w:r w:rsidR="00000000" w:rsidRPr="00000000" w:rsidDel="00000000">
              <w:rPr>
                <w:vertAlign w:val="superscript"/>
                <w:rtl w:val="0"/>
              </w:rPr>
              <w:t xml:space="preserve">5</w:t>
            </w:r>
            <w:r w:rsidR="00000000" w:rsidRPr="00000000" w:rsidDel="00000000">
              <w:rPr>
                <w:rtl w:val="0"/>
              </w:rPr>
              <w:t xml:space="preserve"> panta trešās daļas 5.punktu, tādejādi nosakot, ka turpmāk kā pamats kredītiestādei atteikt pamatkonta atvēršanu vai pārtraukt standartlīgumu par pamatkonta pakalpojumu vairs nebūs piemērojams apstāklis, ka maksājumu konta atvēršana vai apkalpošana var radīt kredītiestādei reputācijas riskus.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Eiropas Parlamenta un Padomes direktīvas 2014/92/ES (2014. gada 23. jūlijs) par maksājumu kontu tarifu salīdzināmību, maksājumu kontu maiņu un piekļuvi maksājumu kontiem ar pamatfunkcijām 16.panta 6.daļa paredz dalībvalstu tiesības noteikt ierobežotus un konkrētus papildu gadījumus, kad kredītiestādēm ir jānoraida vai tās var noraidīt pieteikumu maksājumu kontam ar pamatfunkcijām, kā arī šobrīd nav saņemta informācija, ka Eiropas Komisija būtu uzsākusi pārkāpuma procedūru par neatbilstošu direktīvas ieviešanu Latvijas nacionālajos tiesību aktos, ir būtiski saglabāt reputācijas risku kā iemeslu pamatkonta pakalpojuma nesniegšanai, lai aizsargātu kredītiestāžu un finanšu tirgus intereses gadījumos, kur var nebūt konstatējams tiešs normatīvo aktu pārkāpums, tomēr pastāv sankciju, negatīvas ietekmes uz korespondentattiecībām, vai līdzīgu nelabvēlīgu seku risks.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nozares asociācija vērš uzmanību, ka praksē pastāv situācijas, kur kredītiestāde nevar norādīt uz konkrētu normatīvo aktu pārkāpumu konta atvēršanas brīdī, tomēr klienta apkalpošana pat ievērojot visus saprātīgi pieejamos klienta un tā darījumu uzraudzības mehānismus, neļauj kredītiestādei pilnībā novērst visus iespējamos riskus saistībā ar sankciju un noziedzīgi iegūtu līdzekļu legalizācijas un terorisma finansēšanas novēršanas  jomas regulējuma prasībām un iespējamo negatīvo reakciju no korespondentbankām vai ārvalstu institūcijām.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Jāņem vērā, ka sadarbība ar korespondentbankām, kas ir kritiski nepieciešama maksājumu dažādās ārvalstu valūtās apkalpošanai, ir iespējama tikai ievērojot šo korespondentbanku noteiktās sankciju un noziedzīgi iegūtu līdzekļu legalizācijas un terorisma novēršanas risku pārvaldīšanas un jomu regulējuma ievērošanas prasības un ka tās var būt stingrākas kā Latvijas Republikas tiesību aktos definētās.  Neievērojot attiecīgās prasības rodas risks, ka kredītiestādes sadarbības partneri vai pakalpojumu nodrošinātāji pārtrauc pakalpojumu sniegšanu un šāda pakalpojumu sniegšanas pārtraukšana var atstāt būtisku negatīvu ietekmi uz kredītiestādes darbību vai spēju turpināt kredītiestādes pakalpojumu sniegšanu.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iepriekš aprakstītajā gadījumā ir samērīgi atteikt pamatkonta pakalpojumu patērētājam, jo tādejādi tiek aizsargātas kredītiestādes klientu intereses, kā arī atsevišķu kredītiestāžu, kas ir sistēmiski nozīmīgas bankas gadījumā arī visas valsts finanšu sistēmas stabilitāte.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aicinām saglabāt šādu kredītiestāžu spēju kontrolēt savu riskus saistībā ar korespondentbanku un citu pakalpojumu sniedzēju prasību ievērošanu, izslēdzot no Likumprojekta 4. un 5.pantu vai piedāvājot alternatīvas, sekojošas redakcijas, konkretizējot un aprobežojot atteikuma vai slēgšanas gadījumus ar konkrētu seku iestāšanās iespēju: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97.</w:t>
            </w:r>
            <w:r w:rsidR="00000000" w:rsidRPr="00000000" w:rsidDel="00000000">
              <w:rPr>
                <w:vertAlign w:val="superscript"/>
                <w:rtl w:val="0"/>
              </w:rPr>
              <w:t xml:space="preserve">2</w:t>
            </w:r>
            <w:r w:rsidR="00000000" w:rsidRPr="00000000" w:rsidDel="00000000">
              <w:rPr>
                <w:rtl w:val="0"/>
              </w:rPr>
              <w:t xml:space="preserve"> panta septītās daļas 3.punktu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“3) maksājumu konta atvēršanas vai apkalpošanas rezultātā pastāv risks, ka kredītiestādes sadarbības partneri vai pakalpojumu nodrošinātāji pārtrauc pakalpojumu sniegšanu kredītiestādei un šāda pakalpojumu sniegšanas pārtraukšana atstātu būtisku negatīvu ietekmi uz kredītiestādes darbību vai spēju turpināt kredītiestādes pakalpojumu sniegšanu.”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un 97.</w:t>
            </w:r>
            <w:r w:rsidR="00000000" w:rsidRPr="00000000" w:rsidDel="00000000">
              <w:rPr>
                <w:vertAlign w:val="superscript"/>
                <w:rtl w:val="0"/>
              </w:rPr>
              <w:t xml:space="preserve">5</w:t>
            </w:r>
            <w:r w:rsidR="00000000" w:rsidRPr="00000000" w:rsidDel="00000000">
              <w:rPr>
                <w:rtl w:val="0"/>
              </w:rPr>
              <w:t xml:space="preserve"> panta trešās daļas 5.punktu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“5) maksājumu konta atvēršanas vai apkalpošanas rezultātā pastāv risks, ka kredītiestādes sadarbības partneri vai pakalpojumu nodrošinātāji pārtrauc pakalpojumu sniegšanu kredītiestādei un šāda pakalpojumu sniegšanas pārtraukšana atstātu būtisku negatīvu ietekmi uz kredītiestādes darbību vai spēju turpināt kredītiestādes pakalpojumu sniegšanu.”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šāds papildinājums Maksājumu pakalpojumu un elektroniskās naudas likumā automātiski nenozīmētu, ka potenciālais pamatkonta klients nevarētu piekļūt pamatkonta pakalpojumiem nevienā no kredītiestādēm, jo ne visas kredītiestādes izmanto korespondentattiecības piemēram ar USD valūtas maksājumu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Finanšu nozares asociācija vērš uzmanību, ka reputācijas kritērijs ir skaidrots Finanšu un kapitāla tirgus komisijas sadarbībā ar Patērētāju tiesību aizsardzības centru un Finanšu nozares asociāciju sagatavotajā 2020.gada 8.septembra skaidrojumā. Kā arī Maksājumu pakalpojumu un elektroniskās naudas likums paredz, ka pamatkonta atteikuma gadījumā, tostarp reputācijas riska dēļ, atteikuma tiesiskumu pārbauda Patērētāju tiesību aizsardzības centrs. Esošais regulējums nodrošina pietiekamu aizsardzību patērētājiem pret nepamatotiem kredītiestādes lēmumiem. Ja kredītiestāde nespēj pamatot reputācijas riska reālu iestāšanās iespēju, Patērētāju tiesību aizsardzības centrs var uzdot mainīt lēmumu par pamatkonta nodrošināšanu. Līdz ar to jau šobrīd ir novērsta iespēja, ka kredītiestādes esošo normatīvo regulējumu varētu izmantot pretēji tā jēgai un mērķim.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ja Finanšu ministrija nesaskata iespēju ņemt vērā Finanšu nozares asociācijas iebildumā izteikto ierosinājumu, aicinām, paskaidrojot līdzšinējā tiesiskā regulējuma pielietojamības pamatotību, papildināt Likumprojekta anotāciju ar augstākminēto skaidrojumu par līdzšinējā regulējuma būtību.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MP direktīvas preambulas 47.apsvērumā minēts, ka kredītiestādēm būtu jāatsakās atvērt maksājumu kontu vai būtu jāizbeidz līgums par maksājumu kontu ar pamatfunkcijām tikai īpašos apstākļos, piemēram, to tiesību aktu neievērošanas gadījumā, kuri attiecas uz noziedzīgi iegūtu līdzekļu legalizācijas un terorisma finansēšanas novēršanu vai uz noziegumu novēršanu un izmeklēšanu. Pat minētajos gadījumos atteikums ir pamatots tikai gadījumā, ja patērētājs neievēro minētos tiesību aktus, un nevis tāpēc, ka tiesību aktu ievērošanas pārbaudes procedūra ir pārāk apgrūtinoša vai dārga. Arī MP direktīvas 16.pants nosaka konkrētus gadījumus, kad pamatkonta atvēršana būtu pieļaujama un paredz dalībvalstīm tikai atsevišķus papildus gadījumus, kad iespējams noteikt papildus izņēmumus, proti, ja to mērķis ir vai nu veicināt patērētāja bezmaksas piekļuvi maksājumu kontam ar pamatfunkcijām, vai izvairīties no gadījumiem, kad patērētāji ļaunprātīgi izmanto savas tiesības piekļūt maksājumu kontam ar pamatfunkcijām.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Neskatoties uz to vai ir ierosināta pārkāpuma procedūra, dalībvalstij konstatējot, ka ieviestais regulējums neatbilst direktīvā noteiktajam, ir jāveic atbilstoši grozījumu nacionālajā regulējumā.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riskiem minams, ka Noziedzīgi iegūtu līdzekļu legalizācijas un terorisma un proliferācijas novēršanas likuma 11.</w:t>
            </w:r>
            <w:r w:rsidR="00000000" w:rsidRPr="00000000" w:rsidDel="00000000">
              <w:rPr>
                <w:vertAlign w:val="superscript"/>
                <w:rtl w:val="0"/>
              </w:rPr>
              <w:t xml:space="preserve">1</w:t>
            </w:r>
            <w:r w:rsidR="00000000" w:rsidRPr="00000000" w:rsidDel="00000000">
              <w:rPr>
                <w:rtl w:val="0"/>
              </w:rPr>
              <w:t xml:space="preserve"> panta ceturtās daļas 5.punkts paredz pamatkontu kā risku pazeminošu faktoru. Tāpat ņemot vērā MP direktīvas preambulas 34. un 35. apsvērumā minēto, atšķirībā no citiem pakalpojumiem, pamatkonta pakalpojuma sniegšanas ierobežošana nav pieļaujama balstoties tikai uz klienta noziedzīgi iegūtu līdzekļu legalizācijas un terorisma un proliferācijas finansēšanas  riska līmeni.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norādāms, ka sankciju (gan Eiropas Savienības, gan, piemēram, Ziemeļatlantijas līguma organizācijas dalībvalsts sankcijas, piemēram, OFAC)  regulējums neparedz ierobežojumus pamatkonta atvēršanai sankcijām pakļautai personai. Arī Eiropas Savienības un Ziemeļatlantijas līguma organizācijas dalībvalsts sankcijas paredz izņēmumus, kad finanšu pakalpojumus sankcijās pakļautai personai drīkst sniegt (piemēram, Eiropas Savienības sankciju gadījumā – ar kompetentās iestādes atļauju, ja pakalpojums ietverts izņēmumā, ko pieļauj konkrētā regula, bet Ziemeļatlantijas līguma  organizācijas dalībvalsts sankciju gadījumā – ja ir Latvijas Bankas atļauja, tostarp vispārējais saskaņojums). Saskaņā ar Latvijas Bankas sniegto informāciju, jau šobrīd Latvijas Banka ir sniegusi vairākas atļaujas atbilstoši Eiropas Savienības sankcijām. Savukārt attiecībā uz Ziemeļatlantijas līguma organizācijas dalībvalsts sankcijām pakļautām personām Latvijas Banka ir izdevusi vispārējo saskaņojumu, tādējādi atļaujot bez atsevišķas Latvijas Bankas atļaujas saņemšanas sniegt finanšu pakalpojumus un izpildīt finanšu darījumus personām, kas pakļautas Ziemeļatlantijas līguma dalībvalsts sankcijām, pamatvajadzību segšanai (fizisko personu un fizisko personu apgādājamo ģimenes locekļu pamatvajadzībām vai juridisko personu pamata saimnieciskajai darbībai). Ievērojot noteikto mehānismu ir iespējama pamatkonta atvēršana un apkalpošana arī sankciju režīmam pakļautām personām.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LFNA piedāvāto Maksājumu pakalpojumu un elektroniskās naudas likuma 97.</w:t>
            </w:r>
            <w:r w:rsidR="00000000" w:rsidRPr="00000000" w:rsidDel="00000000">
              <w:rPr>
                <w:vertAlign w:val="superscript"/>
                <w:rtl w:val="0"/>
              </w:rPr>
              <w:t xml:space="preserve">2</w:t>
            </w:r>
            <w:r w:rsidR="00000000" w:rsidRPr="00000000" w:rsidDel="00000000">
              <w:rPr>
                <w:rtl w:val="0"/>
              </w:rPr>
              <w:t xml:space="preserve"> panta septītās daļas 3.punkta un 97.</w:t>
            </w:r>
            <w:r w:rsidR="00000000" w:rsidRPr="00000000" w:rsidDel="00000000">
              <w:rPr>
                <w:vertAlign w:val="superscript"/>
                <w:rtl w:val="0"/>
              </w:rPr>
              <w:t xml:space="preserve">5</w:t>
            </w:r>
            <w:r w:rsidR="00000000" w:rsidRPr="00000000" w:rsidDel="00000000">
              <w:rPr>
                <w:rtl w:val="0"/>
              </w:rPr>
              <w:t xml:space="preserve"> panta trešās daļas 5.punkta redakciju, norādāms, ka arī minētajā situācijā atteikuma pamatojumam būtu jābūt cēloņsakarīgi pamatotam ar reālu draudu sadarbības pārtraukšanai un būtisko ietekmi uz kredītiestādes spēju turpināt darbību, nevis tikai pieļaujamu iespējamību.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w:t>
            </w:r>
            <w:r w:rsidR="00000000" w:rsidRPr="00000000" w:rsidDel="00000000">
              <w:rPr>
                <w:vertAlign w:val="superscript"/>
                <w:rtl w:val="0"/>
              </w:rPr>
              <w:t xml:space="preserve">1</w:t>
            </w:r>
            <w:r w:rsidR="00000000" w:rsidRPr="00000000" w:rsidDel="00000000">
              <w:rPr>
                <w:rtl w:val="0"/>
              </w:rPr>
              <w:t xml:space="preserve">) Latvijas Banka nosaka prasības ārpakalpojuma izmantošanai, tostarp ārpakalpojumu politikā un procedūrās un nozīmīgu ārpakalpojumu līgumos iekļaujamās prasības, Latvijas Bankai iesniedzamos dokumentus un informāciju nozīmīgu ārpakalpojumu saņemšanai, darījumus, kas nav uzskatāmi par ārpakalpojumiem, kārtību, kādā iestāde informē par ārpakalpojumu tālāku deleģēšanu, kā arī kārtību, kādā iestāde identificē nozīmīgus ārpakalpojumus un ziņo par to grozījumiem."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- 19.05.2023.)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vai kontekstā ar Maksājumu pakalpojumu un elektroniskās naudas likuma (turpmāk - likums) 29. pantā jau ietverto regulējumu nav nepieciešams precizēt likumprojekta 2. pantā ietverto pilnvarojumu Latvijas Bankai vai arī likuma 29. pantu. Piemēram, likuma 29. panta sestā daļa, šķiet, jau noteic ārpakalpojuma procedūrā iekļaujamās prasības (salīdzinājumam aicinām sk. Kredītiestāžu likuma 10.</w:t>
            </w:r>
            <w:r w:rsidR="00000000" w:rsidRPr="00000000" w:rsidDel="00000000">
              <w:rPr>
                <w:vertAlign w:val="superscript"/>
                <w:rtl w:val="0"/>
              </w:rPr>
              <w:t xml:space="preserve">1</w:t>
            </w:r>
            <w:r w:rsidR="00000000" w:rsidRPr="00000000" w:rsidDel="00000000">
              <w:rPr>
                <w:rtl w:val="0"/>
              </w:rPr>
              <w:t xml:space="preserve"> panta piektās daļas formulējumu). Aicinām arī (īpaši ņemot vērā Ministru kabineta 2009. gada 3. februāra noteikumu Nr. 108 "Normatīvo aktu projektu sagatavošanas noteikumi" 121. punktu par to, kad pieļaujams noteikumos skaidrot terminus) izvērtēt iespēju likumā definēt, kas ir uzskatāms par nozīmīgu ārpakalpojumu, ņemot vērā, ka likumā tāds termins nav lietots.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aicinām izvērtēt un nepieciešamības gadījumā precizēt likumprojektu un anotāciju.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likuma 29. pantu paredzēts papildināt ar jaunu 1.</w:t>
            </w:r>
            <w:r w:rsidR="00000000" w:rsidRPr="00000000" w:rsidDel="00000000">
              <w:rPr>
                <w:vertAlign w:val="superscript"/>
                <w:rtl w:val="0"/>
              </w:rPr>
              <w:t xml:space="preserve">1</w:t>
            </w:r>
            <w:r w:rsidR="00000000" w:rsidRPr="00000000" w:rsidDel="00000000">
              <w:rPr>
                <w:rtl w:val="0"/>
              </w:rPr>
              <w:t xml:space="preserve"> daļu ar pilnvarojumu Latvijas Bankai izdot noteikumus, lai izslēgtu tiesību normu dublēšanos, no likuma tiek izslēgta 29. panta piektā un sestā daļa, kuras attiecīgi paredz ārpakalpojuma līgumā un ārpakalpojuma procedūrā iekļaujamās informācijas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ir precizēta un jaunā redakcijā izteikta likuma 29. panta ceturtā daļa nosakot, ka pirms nozīmīga ārpakalpojuma saņemšanas iestāde iesniedz Latvijas Bankai motivētu rakstveida iesniegumu par plānoto ārpakalpojuma saņemšanu. Iesniegumam pievieno Latvijas Bankas noteikumos noteiktos dokumentus un informāciju, kas nepieciešama, lai izvērtētu saņemamā ārpakalpojuma atbilstību šā likuma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w:t>
            </w:r>
            <w:r w:rsidR="00000000" w:rsidRPr="00000000" w:rsidDel="00000000">
              <w:rPr>
                <w:vertAlign w:val="superscript"/>
                <w:rtl w:val="0"/>
              </w:rPr>
              <w:t xml:space="preserve">1</w:t>
            </w:r>
            <w:r w:rsidR="00000000" w:rsidRPr="00000000" w:rsidDel="00000000">
              <w:rPr>
                <w:rtl w:val="0"/>
              </w:rPr>
              <w:t xml:space="preserve">) Ja Latvijas Banka ir saņēmusi informāciju no citas dalībvalsts iestāžu uzraudzības institūcijas, ka Latvijā licencētas iestādes filiāle vai pārstāvis, kas darbojas citā dalībvalstī, vai licencēta iestāde, kas sniedz finanšu pakalpojumus citā dalībvalstī, neatverot tajā filiāli vai neizmantojot pārstāvi, veic darbības, kas ir pretrunā ar normatīvajiem aktiem, tā nekavējoties pēc informācijas izvērtēšanas veic visus nepieciešamos pasākumus, lai nodrošinātu, ka attiecīgā iestāde novērš konstatēto neatbilstību normatīvajiem aktiem. Latvijas Banka informē citas dalībvalsts iestāžu uzraudzības institūciju par veiktajiem pasākumiem.";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- 19.05.2023.)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vai sakarā ar likuma 51. panta papildināšanu ar 2.</w:t>
            </w:r>
            <w:r w:rsidR="00000000" w:rsidRPr="00000000" w:rsidDel="00000000">
              <w:rPr>
                <w:vertAlign w:val="superscript"/>
                <w:rtl w:val="0"/>
              </w:rPr>
              <w:t xml:space="preserve">1</w:t>
            </w:r>
            <w:r w:rsidR="00000000" w:rsidRPr="00000000" w:rsidDel="00000000">
              <w:rPr>
                <w:rtl w:val="0"/>
              </w:rPr>
              <w:t xml:space="preserve"> daļu nav precizējama panta ceturtā daļa. Nepieciešamības gadījumā aicinām precizēt likumprojektu un anotāciju.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51. panta ceturtā daļa tiek papildināta ar atsauci uz likuma 51. panta 2.</w:t>
            </w:r>
            <w:r w:rsidR="00000000" w:rsidRPr="00000000" w:rsidDel="00000000">
              <w:rPr>
                <w:vertAlign w:val="superscript"/>
                <w:rtl w:val="0"/>
              </w:rPr>
              <w:t xml:space="preserve">1</w:t>
            </w:r>
            <w:r w:rsidR="00000000" w:rsidRPr="00000000" w:rsidDel="00000000">
              <w:rPr>
                <w:rtl w:val="0"/>
              </w:rPr>
              <w:t xml:space="preserve">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"Veicot nepieciešamos pasākumus, Latvijas Banka nodrošina vienlīdzīgu attieksmi pret Latvijas un citas dalībvalsts iestādes maksājumu pakalpojumu lietotājiem un elektroniskās naudas turētājiem. Latvijas Banka nekavējoties informē citas dalībvalsts iestāžu uzraudzības institūciju, Eiropas Komisiju un Eiropas Banku iestādi par veiktajiem pasākumiem un to pamatojumu."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- 19.05.2023.)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likumprojektā lietoto terminoloģiju salāgot ar likumā izmantoto terminoloģiju (piemēram, likumā tiek definēts un lietots termins "maksājumu pakalpojuma </w:t>
            </w:r>
            <w:r w:rsidR="00000000" w:rsidRPr="00000000" w:rsidDel="00000000">
              <w:rPr>
                <w:u w:val="single"/>
                <w:rtl w:val="0"/>
              </w:rPr>
              <w:t xml:space="preserve">izmantotājs</w:t>
            </w:r>
            <w:r w:rsidR="00000000" w:rsidRPr="00000000" w:rsidDel="00000000">
              <w:rPr>
                <w:rtl w:val="0"/>
              </w:rPr>
              <w:t xml:space="preserve">" (sk. likuma 1. panta 7.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Terminoloģija saskaņota.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"Veicot nepieciešamos pasākumus, Latvijas Banka nodrošina vienlīdzīgu attieksmi pret Latvijas un citas dalībvalsts iestādes maksājumu pakalpojumu izmantotājiem un elektroniskās naudas turētājiem. Latvijas Banka nekavējoties informē citas dalībvalsts iestāžu uzraudzības institūciju, Eiropas Komisiju un Eiropas Banku iestādi par veiktajiem pasākumiem un to pamatojumu.";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- 19.05.2023.)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anotācijas 5.4. sadaļas 1. tabulā norādīta nekorekta likumprojekta un likuma vienība, kurā pārņemta Eiropas Parlamenta un Padomes 2015.gada 25.novembra Direktīvas (ES) 2015/2366 par maksājumu pakalpojumiem iekšējā tirgū, ar ko groza Direktīvas 2002/65/EK, 2009/110/EK un 2013/36/ES un Regulu (ES) Nr. 1093/2010 un atceļ Direktīvu 2007/64/EK 30. panta 1. punkta otrā daļa. Attiecīgi aicinām novērst kļūdu, norādot korektu likumprojekta un likuma vienību.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5.4. sadaļas 1. tabulā norādīta korekta likumprojekta un likuma vienība, proti, likumprojekta 3. pants (likuma 51. panta 2.1 daļa).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23-TA-915</w:t>
    </w:r>
    <w:r>
      <w:br/>
    </w:r>
    <w:r w:rsidR="00000000" w:rsidRPr="00000000" w:rsidDel="00000000">
      <w:rPr>
        <w:rtl w:val="0"/>
      </w:rPr>
      <w:t xml:space="preserve">08.06.2023. 10.42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23-TA-915</w:t>
    </w:r>
    <w:r>
      <w:br/>
    </w:r>
    <w:r w:rsidR="00000000" w:rsidRPr="00000000" w:rsidDel="00000000">
      <w:rPr>
        <w:rtl w:val="0"/>
      </w:rPr>
      <w:t xml:space="preserve">08.06.2023. 10.42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Izziņa_23-TA-915.docx</dc:title>
</cp:coreProperties>
</file>

<file path=docProps/custom.xml><?xml version="1.0" encoding="utf-8"?>
<Properties xmlns="http://schemas.openxmlformats.org/officeDocument/2006/custom-properties" xmlns:vt="http://schemas.openxmlformats.org/officeDocument/2006/docPropsVTypes"/>
</file>