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22-TA-3788: Noteikumu projekts (Jauns)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Aizsargājamo ainavu apvidus "Koknese-Odziena" individuālie aizsardzības un izmantošanas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Aizsargājamo ainavu apvidus "Koknese-Odziena" individuālie aizsardzības un izmantošanas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- 09.02.2024.)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meža dienests nesaskaņo projektu, jo nav ņemti vērā ierosinājumi attiecībā uz meža uguns apsardzības un ugunsdzēsības jomu. Teritorijā dominē II meža ugunsbīstamības meži un meža uguns apsardzības infrastruktūra ir neatbilstoša sekmīgai funkcijas nodrošināšanai. VMD rosina iekļaut noteikumu projektā teritorijas karti, kurā būtu attēlota  ugunsdzēsības nodrošināšanai  nepieciešamā meža infrastruktūra- dabiskas brauktuves, ceļi un ūdens ņemšanas vietas.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papildināts ar 4.pielikumu (ugunsdrošības kritiskā meža infrastruktūra), kā arī papildināts noteikumu projekta 15.10.4. apakšpunkts (un anotācijas I. sadaļas 1.3.punktu), kas pieļauj dabas lieguma zonā izsvērtos gadījumos (kad nav samērīgu alternatīvu ārpus vai nešķērsojot dabas lieguma zonu) veidot jaunus ugunsdrošības meža infrastruktūras objektus vai pielāgot esošos (piemēram, caurtekas ierīkošana), saņemot Dabas aizsardzības pārvaldes rakstveida atļauju vai, izstrādājot kompleksus risinājumus, kam var būt būtiska ietekme - veicot sākotnējo ietekmes uz vidi izvērtējumu.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Aizsargājamo ainavu apvidus "Koknese-Odziena" individuālie aizsardzības un izmantošanas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Aizsargājamo ainavu apvidus "Koknese-Odziena" individuālie aizsardzības un izmantošanas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(LMIB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 kā puse no jaunveidojamās  aizsargājamās teritorijas paredzēts izvietot privātajā īpašumā esošajās zemēs.  Aicinām nevirzīt normatīvā akta projektu,, kamēr nav izpildīts Ministru kabineta rīcības plāna uzdevums- ieviesta taisnīga kompensāciju sistēma par saimnieciskās darbības aprobežojumiem, kas pārskatīta  un izveidota ar lauksaimniecību un mežsaimniecību saistīto dabas resursu efektīvu un ilgtspējīgu pārvaldības modeli.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 (Atsaukts)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norādīts publiskās apspriešanas pārskatā (kas pievienots tiesību akta lietai), kā arī anotācijā, lielākā daļa privāto zemju (92%) paredzēts iekļautas ainavu aizsardzības zonā. Dabas lieguma zona ar galvenās cirtes aizliegumu galvenokārt piemērota valsts zemēs (97%), savukārt privātīpašumu mežiem, kas sākotnēji nelielā apjomā bija paredzēti dabas lieguma zonā, pēc funkcionālā zonējuma pārskatīšanas lielākoties ietverti dabas parka vai ainavu aizsardzības zonā, kurā iespējama mežsaimnieciskā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jāņem vērā, ka no mežaudzēm trešā daļa jau ir jaunaudzes (melnalkšņu audzēm - puse), savukārt lauksaimniecībā izmantojamās zemēs ierobežojumi ir noteikti tikai konstatētajiem Eiropas nozīmes zālāju biotopiem (153 ha platībā, kas ir 1,4% no privātīpašumā esošajām zemēm).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izstrādāts, lai atbilstoši Biotopu direktīvas 6. panta prasībām vienlaikus ar īpaši aizsargājamās dabas teritorijas (</w:t>
            </w:r>
            <w:r w:rsidR="00000000" w:rsidRPr="00000000" w:rsidDel="00000000">
              <w:rPr>
                <w:i w:val="1"/>
                <w:rtl w:val="0"/>
              </w:rPr>
              <w:t xml:space="preserve">Natura 2000</w:t>
            </w:r>
            <w:r w:rsidR="00000000" w:rsidRPr="00000000" w:rsidDel="00000000">
              <w:rPr>
                <w:rtl w:val="0"/>
              </w:rPr>
              <w:t xml:space="preserve"> teritorijas) izveidošanu noteiktu atbilstīgus normatīvus pasākumus, kuri atbilst šajās teritorijās sastopamo Biotopu direktīvas I pielikuma dabisko dzīvotņu veidu un II pielikuma sugu </w:t>
            </w:r>
            <w:r w:rsidR="00000000" w:rsidRPr="00000000" w:rsidDel="00000000">
              <w:rPr>
                <w:u w:val="single"/>
                <w:rtl w:val="0"/>
              </w:rPr>
              <w:t xml:space="preserve">ekoloģiskajām prasībām</w:t>
            </w:r>
            <w:r w:rsidR="00000000" w:rsidRPr="00000000" w:rsidDel="00000000">
              <w:rPr>
                <w:rtl w:val="0"/>
              </w:rPr>
              <w:t xml:space="preserve">. Tā kā Ministru kabineta 2010. gada 16. marta noteikumu Nr. 264 "Īpaši aizsargājamo dabas teritoriju vispārējie aizsardzības un izmantošanas noteikumi" 7. nodaļas "Aizsargājamo ainavu apvidi" vispārējie nosacījumi nenodrošina platausim vitāli nepieciešamo ekosistēmas elementu saglabāšanu un aizsardzību, nepieciešams noteikt ainavu apvidus individuālos aizsardzības un izmantošanas noteikumus atbilstoši Eiropas platauša sugas aizsardzības plānā norādītajai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Biotopu direktīvas (tāpat kā Putnu direktīvas) izpilde ir saistoša dalībvalstīm neatkarīgi no kompensāciju pieejamības vai tās apmēriem.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Aizsargājamo ainavu apvidus "Koknese-Odziena" individuālie aizsardzības un izmantošanas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Dabas aizsardzības pārvalde nosaka ierobežotas pieejamības statusu informācijai par ainavu apvidū esošo īpaši aizsargājamo sugu dzīvotņu un īpaši aizsargājamo biotopu atrašanās vietu, ja tās atklāšana var kaitēt dabas aizsardzībai. Šādu informāciju izplata tikai ar Dabas aizsardzības pārvaldes rakstisku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Sugu un biotopu aizsardzības likuma 5. panta 16. punkts noteic, ka Vides aizsardzības un reģionālās attīstības ministrija un tās padotībā esošās iestādes saskaņā ar šo likumu var noteikt to īpaši aizsargājamās dabas teritorijās esošu </w:t>
            </w:r>
            <w:r w:rsidR="00000000" w:rsidRPr="00000000" w:rsidDel="00000000">
              <w:rPr>
                <w:u w:val="single"/>
                <w:rtl w:val="0"/>
              </w:rPr>
              <w:t xml:space="preserve">īpaši aizsargājamo sugu un īpaši aizsargājamo biotopu veidu sarakstu</w:t>
            </w:r>
            <w:r w:rsidR="00000000" w:rsidRPr="00000000" w:rsidDel="00000000">
              <w:rPr>
                <w:rtl w:val="0"/>
              </w:rPr>
              <w:t xml:space="preserve">, kā arī īpaši aizsargājamo meža, krūmāju un purvu biotopu raksturojošās pazīmes, kuru dzīvotņu vai atrašanās vietu atklāšana var kaitēt vides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Sugu un biotopu aizsardzības likuma 8. panta piektā daļa noteic, ka </w:t>
            </w:r>
            <w:r w:rsidR="00000000" w:rsidRPr="00000000" w:rsidDel="00000000">
              <w:rPr>
                <w:u w:val="single"/>
                <w:rtl w:val="0"/>
              </w:rPr>
              <w:t xml:space="preserve">informācija par šā likuma 5. panta 16.punktā minētajā sarakstā iekļauto īpaši aizsargājamās dabas teritorijās esošo īpaši aizsargājamo sugu dzīvotnēm un īpaši aizsargājamo biotopu atrašanās vietām </w:t>
            </w:r>
            <w:r w:rsidR="00000000" w:rsidRPr="00000000" w:rsidDel="00000000">
              <w:rPr>
                <w:b w:val="1"/>
                <w:u w:val="single"/>
                <w:rtl w:val="0"/>
              </w:rPr>
              <w:t xml:space="preserve">uzskatāma par ierobežotas pieejamības informāciju</w:t>
            </w:r>
            <w:r w:rsidR="00000000" w:rsidRPr="00000000" w:rsidDel="00000000">
              <w:rPr>
                <w:rtl w:val="0"/>
              </w:rPr>
              <w:t xml:space="preserve">. </w:t>
            </w:r>
            <w:r w:rsidR="00000000" w:rsidRPr="00000000" w:rsidDel="00000000">
              <w:rPr>
                <w:u w:val="single"/>
                <w:rtl w:val="0"/>
              </w:rPr>
              <w:t xml:space="preserve">Ierobežotas pieejamības informācijas statuss tiek noteikts uz laiku, kamēr īpaši aizsargājamā suga vai īpaši aizsargājamais biotops iekļauts minētajā sarakstā, un šī informācija ir pieejama saskaņā ar Informācijas atklātības likumu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attiecīgā informācija ir noteikta par ierobežotas pieejamības uz likuma pamata. Tādējādi atbilstoši Informācijas atklātības likumā noteiktajam iestādei par to nav jālemj. Šajā gadījumā Dabas aizsardzības pārvaldei būtu tikai jāsastāda attiecīgais saraksts.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Ministru kabineta noteikumu projekta "Aizsargājamo ainavu apvidus "Koknese-Odziena" individuālie aizsardzības un izmantošanas noteikumi" (turpmāk – projekts) 6. punktu, kā arī papildināt projekta sākotnējās ietekmes </w:t>
            </w:r>
            <w:r w:rsidR="00000000" w:rsidRPr="00000000" w:rsidDel="00000000">
              <w:rPr>
                <w:i w:val="1"/>
                <w:rtl w:val="0"/>
              </w:rPr>
              <w:t xml:space="preserve">(ex-ante)</w:t>
            </w:r>
            <w:r w:rsidR="00000000" w:rsidRPr="00000000" w:rsidDel="00000000">
              <w:rPr>
                <w:rtl w:val="0"/>
              </w:rPr>
              <w:t xml:space="preserve"> novērtējuma ziņojumu (turpmāk – anotācija) ar informāciju par projekta 6. punktā paredzēto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dzēsts.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Dabas aizsardzības pārvalde nosaka ierobežotas pieejamības statusu informācijai par dabas parkā esošo īpaši aizsargājamo sugu dzīvotņu un īpaši aizsargājamo biotopu atrašanās vietu, ja tās atklāšana var kaitēt dabas aizsardzībai. Šādu informāciju izplata tikai ar Dabas aizsardzības pārvaldes rakstisku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atbilstoši Informācijas atklātības likuma 5. panta pirmajā daļā noteiktajam </w:t>
            </w:r>
            <w:r w:rsidR="00000000" w:rsidRPr="00000000" w:rsidDel="00000000">
              <w:rPr>
                <w:u w:val="single"/>
                <w:rtl w:val="0"/>
              </w:rPr>
              <w:t xml:space="preserve">ierobežotas pieejamības informācija ir tāda informācija, kura ir paredzēta ierobežotam personu lokam sakarā ar darba vai dienesta pienākumu veikšanu un kuras izpaušana vai nozaudēšana šīs informācijas rakstura un satura dēļ apgrūtina vai var apgrūtināt iestādes darbību, nodara vai var nodarīt kaitējumu personu likumiskajām interesēm</w:t>
            </w:r>
            <w:r w:rsidR="00000000" w:rsidRPr="00000000" w:rsidDel="00000000">
              <w:rPr>
                <w:rtl w:val="0"/>
              </w:rPr>
              <w:t xml:space="preserve">. Turklāt Informācijas atklātības likuma 5. panta otrajā daļā ir noteikts, kāda informācija ir uzskatāma par ierobežotas pieejamības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Informācijas atklātības likuma 5. panta trešajā daļā noteiktajam </w:t>
            </w:r>
            <w:r w:rsidR="00000000" w:rsidRPr="00000000" w:rsidDel="00000000">
              <w:rPr>
                <w:u w:val="single"/>
                <w:rtl w:val="0"/>
              </w:rPr>
              <w:t xml:space="preserve">informācijas autors vai iestādes vadītājs, norādot šajā likumā vai citos likumos paredzēto pamatojumu, nosaka informācijai ierobežotas pieejamības statusu</w:t>
            </w:r>
            <w:r w:rsidR="00000000" w:rsidRPr="00000000" w:rsidDel="00000000">
              <w:rPr>
                <w:rtl w:val="0"/>
              </w:rPr>
              <w:t xml:space="preserve">. Informācijas atklātības likuma 5. panta ceturtajā daļā paredzēts regulējums par to, </w:t>
            </w:r>
            <w:r w:rsidR="00000000" w:rsidRPr="00000000" w:rsidDel="00000000">
              <w:rPr>
                <w:u w:val="single"/>
                <w:rtl w:val="0"/>
              </w:rPr>
              <w:t xml:space="preserve">uz cik ilgu laiku informācijas autors vai iestādes vadītājs var noteikt informācijai ierobežotas pieejamības informācijas statusu</w:t>
            </w:r>
            <w:r w:rsidR="00000000" w:rsidRPr="00000000" w:rsidDel="00000000">
              <w:rPr>
                <w:rtl w:val="0"/>
              </w:rPr>
              <w:t xml:space="preserve"> u.tml.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Informācijas atklātības likuma 11. panta ceturtajā daļā paredzēts regulējums par to, </w:t>
            </w:r>
            <w:r w:rsidR="00000000" w:rsidRPr="00000000" w:rsidDel="00000000">
              <w:rPr>
                <w:u w:val="single"/>
                <w:rtl w:val="0"/>
              </w:rPr>
              <w:t xml:space="preserve">kā pieprasa ierobežotas pieejamības informāciju</w:t>
            </w:r>
            <w:r w:rsidR="00000000" w:rsidRPr="00000000" w:rsidDel="00000000">
              <w:rPr>
                <w:rtl w:val="0"/>
              </w:rPr>
              <w:t xml:space="preserve">, bet Informācijas atklātības likuma 11.</w:t>
            </w:r>
            <w:r w:rsidR="00000000" w:rsidRPr="00000000" w:rsidDel="00000000">
              <w:rPr>
                <w:vertAlign w:val="superscript"/>
                <w:rtl w:val="0"/>
              </w:rPr>
              <w:t xml:space="preserve">2</w:t>
            </w:r>
            <w:r w:rsidR="00000000" w:rsidRPr="00000000" w:rsidDel="00000000">
              <w:rPr>
                <w:rtl w:val="0"/>
              </w:rPr>
              <w:t xml:space="preserve"> un 12. pantā paredzēts regulējums par </w:t>
            </w:r>
            <w:r w:rsidR="00000000" w:rsidRPr="00000000" w:rsidDel="00000000">
              <w:rPr>
                <w:u w:val="single"/>
                <w:rtl w:val="0"/>
              </w:rPr>
              <w:t xml:space="preserve">pieprasītās informācijas izsniegšanu, kā arī atteikumu to izsniegt</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3.2. apakšpunkts noteic, ka </w:t>
            </w:r>
            <w:r w:rsidR="00000000" w:rsidRPr="00000000" w:rsidDel="00000000">
              <w:rPr>
                <w:u w:val="single"/>
                <w:rtl w:val="0"/>
              </w:rPr>
              <w:t xml:space="preserve">normatīvā akta projektā neietver normas, kas dublē augstāka spēka normatīvā akta tiesību normās ietverto normatīvo regulējumu</w:t>
            </w:r>
            <w:r w:rsidR="00000000" w:rsidRPr="00000000" w:rsidDel="00000000">
              <w:rPr>
                <w:rtl w:val="0"/>
              </w:rPr>
              <w:t xml:space="preserve">. Turklāt vēršam uzmanību uz to, ka Ministru kabineta noteikumu projektā "Aizsargājamo ainavu apvidus "Koknese-Odziena" individuālie aizsardzības un izmantošanas noteikumi" (turpmāk – projekts) nevar paredzēt citādāku regulējumu nekā Informācijas atklātības likumā, ja to neparedz likums "Par īpaši aizsargājamām dabas teritorijām" (turpmāk – 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projekta 6. punktā paredzēto regulējumu un papildināt projekta sākotnējās ietekmes </w:t>
            </w:r>
            <w:r w:rsidR="00000000" w:rsidRPr="00000000" w:rsidDel="00000000">
              <w:rPr>
                <w:i w:val="1"/>
                <w:rtl w:val="0"/>
              </w:rPr>
              <w:t xml:space="preserve">(ex-ante)</w:t>
            </w:r>
            <w:r w:rsidR="00000000" w:rsidRPr="00000000" w:rsidDel="00000000">
              <w:rPr>
                <w:rtl w:val="0"/>
              </w:rPr>
              <w:t xml:space="preserve"> novērtējuma ziņojumu (turpmāk – anotācija)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Sugu un biotopu aizsardzības likuma 5. panta 16. punkts un 8. panta piektā daļa noteic tiesības Vides aizsardzības un reģionālās attīstības ministrijai un tās padotībā esošām iestādēm noteikt to īpaši aizsargājamās dabas teritorijās esošu īpaši aizsargājamo sugu un īpaši aizsargājamo biotopu veidu sarakstu, kā arī īpaši aizsargājamo meža, krūmāju un purvu biotopu raksturojošās pazīmes, kuru dzīvotņu vai atrašanās vietu atklāšana var kaitēt vides aizsardzībai, informācija par atrašanās vietām uzskatāma par ierobežotas pieejamības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saskaņā ar likumu  "Par īpaši aizsargājamām dabas teritorijām" 22.panta otro daļu ierobežojumus informācijas pieejamībai par aizsargājamām teritorijām var noteikt atbilstoši Informācijas atklātības likumam, Vides aizsardzības likumam, </w:t>
            </w:r>
            <w:r w:rsidR="00000000" w:rsidRPr="00000000" w:rsidDel="00000000">
              <w:rPr>
                <w:u w:val="single"/>
                <w:rtl w:val="0"/>
              </w:rPr>
              <w:t xml:space="preserve">aizsargājamo teritoriju aizsardzības un izmantošanas noteikumiem</w:t>
            </w:r>
            <w:r w:rsidR="00000000" w:rsidRPr="00000000" w:rsidDel="00000000">
              <w:rPr>
                <w:rtl w:val="0"/>
              </w:rPr>
              <w:t xml:space="preserve"> un citiem normatīvajiem aktiem.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Dabas aizsardzības pārvaldes ģenerāldirektora 2020. gada 14. janvāra rīkojumu Nr. 1.1/12/2020 "Par ierobežotas pieejamības informācijas statusa noteikšanu informācijai par īpaši aizsargājamo sugu dzīvotņu vietām" ierobežotas pieejamības informācijas statuss vispārīgi šobrīd noteikts četru putnu, vienas gliemeņu un vienas augu sugas dzīvotnēm.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pat laikā gadījumā, ja kādai ainavu apvidus teritorijā esošai īpaši aizsargājamai sugas dzīvotnei (-ēm) vai īpaši aizsargājamam biotopam būs konstatējams pamatots apdraudējums dēļ informācijas vispārpieejamības, Dabas aizsardzības pārvaldei būs tiesības, pamatojoties uz šiem noteikumiem, noteikt ierobežotas pieejamības informācijas statusu.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Dabas aizsardzības pārvalde, izvērtējot paredzētās darbības, izmanto dabas aizsardzības plānā, ja tāds ir izstrādāts, iekļauto informāciju un jaunāko pieejamo informāciju par īpaši aizsargājamām sugām un īpaši aizsargājamiem biotopiem ainavu apvidus teritorijā un izvērtē paredzētās darbības ietekmi uz ainavu apvidu, īpaši aizsargājamām sugām un īpaši aizsargājamiem biotopiem, tai skaitā Eiropas Savienības nozīmes aizsargājamiem biotopiem.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informāciju par projekta 7. punktā paredzēto regulējumu (proti, anotācijā norādīt informāciju, kas ietverta izziņas 2. 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Dabas aizsardzības pārvalde, izvērtējot paredzētās darbības, izmanto dabas aizsardzības plānā, ja tāds ir izstrādāts, iekļauto informāciju un jaunāko pieejamo informāciju par īpaši aizsargājamām sugām un īpaši aizsargājamiem biotopiem ainavu apvidus teritorijā un izvērtē paredzētās darbības ietekmi uz ainavu apvidu, īpaši aizsargājamām sugām un īpaši aizsargājamiem biotopiem, tai skaitā Eiropas Savienības nozīmes aizsargājamiem biotopiem.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Dabas aizsardzības pārvalde, izvērtējot paredzētās darbības, izmanto dabas aizsardzības plānā, ja tāds ir izstrādāts, iekļauto informāciju un jaunāko pieejamo informāciju par īpaši aizsargājamām sugām un īpaši aizsargājamiem biotopiem ainavu apvidus teritorijā un izvērtē paredzētās darbības ietekmi uz ainavu apvidu, īpaši aizsargājamām sugām un īpaši aizsargājamiem biotopiem, tai skaitā Eiropas Savienības nozīmes aizsargājamiem biotopiem.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likuma 18. panta ceturtā daļa noteic, ka, izstrādājot aizsargājamās teritorijas individuālos aizsardzības un izmantošanas noteikumus, kā arī teritorijas attīstības plānošanas dokumentus un apsaimniekojot aizsargājamo teritoriju, </w:t>
            </w:r>
            <w:r w:rsidR="00000000" w:rsidRPr="00000000" w:rsidDel="00000000">
              <w:rPr>
                <w:u w:val="single"/>
                <w:rtl w:val="0"/>
              </w:rPr>
              <w:t xml:space="preserve">var izmantot dabas aizsardzības plānā ietverto informāciju. Plānam ir ieteikuma raksturs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nav skaidrs, kādēļ projekta 7. punktā paredzēts, ka Dabas aizsardzības pārvalde, izvērtējot paredzētās darbības, </w:t>
            </w:r>
            <w:r w:rsidR="00000000" w:rsidRPr="00000000" w:rsidDel="00000000">
              <w:rPr>
                <w:u w:val="single"/>
                <w:rtl w:val="0"/>
              </w:rPr>
              <w:t xml:space="preserve">izmanto dabas aizsardzības plānā, ja tāds ir izstrādāts, iekļauto informāciju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Ministru kabineta 2009. gada 3. februāra noteikumu Nr. 108 "Normatīvo aktu projektu sagatavošanas noteikumi" 3.2. apakšpunkts noteic, ka </w:t>
            </w:r>
            <w:r w:rsidR="00000000" w:rsidRPr="00000000" w:rsidDel="00000000">
              <w:rPr>
                <w:u w:val="single"/>
                <w:rtl w:val="0"/>
              </w:rPr>
              <w:t xml:space="preserve">normatīvā akta projektā neietver normas, kas dublē augstāka spēka normatīvā akta tiesību normās ietverto normatīvo regulējumu</w:t>
            </w:r>
            <w:r w:rsidR="00000000" w:rsidRPr="00000000" w:rsidDel="00000000">
              <w:rPr>
                <w:rtl w:val="0"/>
              </w:rPr>
              <w:t xml:space="preserve">. Turklāt projektā nevar paredzēt citādāku regulējumu nekā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projekta 7. punktā paredzēto regulējumu un papildināt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Īpaši aizsargājamo dabas teritoriju dabas aizsardzības plānus apstiprina vides aizsardzības un reģionālās attīstības ministrs, līdz ar to ministra rīkojums (dabas aizsardzības plāns) ir saistošs Vides aizsardzības un reģionālās attīstības ministrijas padotības iestādēm, tai skaitā, Dabas aizsardzības pārvaldei.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Dabas aizsardzības plānam ir ieteikuma raksturs attiecībā uz trešajām personām. Bet, izvērtējot darbības, Dabas aizsardzības pārvaldei jāņem vērā dabas aizsardzības plānā norādītā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Dabas aizsardzības pārvalde, izvērtējot paredzētās darbības, izmanto dabas aizsardzības plānā, ja tāds ir izstrādāts, iekļauto informāciju un jaunāko pieejamo informāciju par īpaši aizsargājamām sugām un īpaši aizsargājamiem biotopiem ainavu apvidus teritorijā un izvērtē paredzētās darbības ietekmi uz ainavu apvidu, īpaši aizsargājamām sugām un īpaši aizsargājamiem biotopiem, tai skaitā Eiropas Savienības nozīmes aizsargājamiem biotopiem.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uz ugunsdzēsības pasākumiem, glābšanas pasākumiem un ārkārtējām situācijām;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ugunsdrošība ir pasākumu kopums, kuru uzdevums nepieļaut meža ugunsgrēku izcelšanos un kavēt izcēlušos ugunsgrēku izplatīšanos.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Meža valsts reģistra no šīs platības vairāk kā 11 000 ha sastāda I un II ugunsbīstamības klases mežaudzes, kas būtiski palielina ugunsbīstamības riskus. Tāpēc pastāv risks minētājā teritorijā meža ugunsgrēkiem kļūt plašiem un nekontrolējamiem.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uzturam iepriekš izteiktos iebildumus, par nepieciešamību atļaut uzturēt un ierīkot meža infrastruktūras objektus visas ugunsdzēsības sezonās garumā, ugunsapsardzības norošināšanai.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Esošo ceļu un brauktuvju, kas nozīmīgi ugunsdrošības pasākumiem, kā arī mineralizēto joslu uzturēšana ir atļauta visu gadu (tai skaitā, sezonālo mežsaimnieciskās darbības ierobežojumu periodā).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jauni meža infrastruktūras objekti ierīkojami vai pārbūvējami esošie, ievērojot noteiktās prasības (ārpus sezonas ierobežojuma perioda), tai skaitā veicot paredzēto darbību kompleksu un atbilstošu ietekmes uz vidi (Natura 2000 teritoriju) izvērtējumu, kā tas norādīts arī Eiropas Savienības Tiesas 2023. gada 7. decembra spriedumā lietā C-434/22.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uz ugunsdzēsības pasākumiem, glābšanas pasākumiem un ārkārtējām situācijām;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 uz ugunsdzēsības pasākumiem, glābšanas pasākumiem un ārkārtējām situācijām;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punktu ar </w:t>
            </w:r>
            <w:r w:rsidR="00000000" w:rsidRPr="00000000" w:rsidDel="00000000">
              <w:rPr>
                <w:b w:val="1"/>
                <w:rtl w:val="0"/>
              </w:rPr>
              <w:t xml:space="preserve">meža ugunsdrošības meža infrastruktūras objektu uzturēšanu un ierīkošanu </w:t>
            </w:r>
            <w:r w:rsidR="00000000" w:rsidRPr="00000000" w:rsidDel="00000000">
              <w:rPr>
                <w:rtl w:val="0"/>
              </w:rPr>
              <w:t xml:space="preserve">(238. Ugunsdrošības noteikumi - meža zemē ierīkots autoceļš, kvartālstiga, mineralizētā josla, dabiskā brauktuve, ūdens ņemšanas vieta ar piekļuvi, uguns novērošanas tornis)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 meža ugunsdrošības meža infrastruktūras objektu uzturēšanu un ierīkošanu, ugunsdzēsības pasākumiem, glābšanas pasākumiem un ārkārtējām situācijām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Jānošķir darbības tūlītējai apdraudējuma novēršanai ārkārtas situācijās no preventīvām darbībām (piemēram, ugunsdrošības meža infrastruktūras objektu ierīkošana), kas veicamas vispārējā kārtība, ievērojot noteikumu projektā noteiktos prasības (piemēram, ievērojot noteiktos sezonālos darbības ierobežojumus, un saņemot Dabas aizsardzības pārvaldes rakstveida atļauju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uz ugunsdzēsības pasākumiem, glābšanas pasākumiem un ārkārtējām situācijām;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pārvietoties (arī apstāties un stāvēt) ar mehāniskajiem transportlīdzekļiem, tai skaitā automašīnām, traktortehniku, motocikliem, tricikliem, kvadricikliem, mopēdiem un sniega motocikliem brīvā dabā ārpus ceļiem</w:t>
            </w:r>
            <w:r w:rsidR="00000000" w:rsidRPr="00000000" w:rsidDel="00000000">
              <w:rPr>
                <w:color w:val="#1abc9c"/>
                <w:rtl w:val="0"/>
              </w:rPr>
              <w:t xml:space="preserve"> </w:t>
            </w:r>
            <w:r w:rsidR="00000000" w:rsidRPr="00000000" w:rsidDel="00000000">
              <w:rPr>
                <w:rtl w:val="0"/>
              </w:rPr>
              <w:t xml:space="preserve">un dabiskām brauktuvēm (ne vairāk kā četrus metrus plata neizbūvēta brauktuve meža vai lauksaimniecības zemes apsaimniekošanas un aizsardzības vajadzībām un valsts aizsardzības uzdevumu veikšanai), izņemot neitrālo zonu, pārvietošanos ar velosipēdiem, normatīvajos aktos noteiktajā kārtībā ierīkotās trasēs un gadījumus, ja pārvietošanās ir saistīta ar šo teritoriju apsaimniekošanu, tai skaitā medību saimniecību, uzraudzību, valsts aizsardzības uzdevumu veikšanu, sabiedriskās kārtības un drošības nodrošināšanu, ugunsdrošības pasākumu veikšanai vai glābšanas un meklēšanas darbiem, kā arī ar Dabas aizsardzības pārvaldes rakstveida atļauju zinātnisko pētījumu veikšanai. Šajā punktā atļautajos gadījumos mehāniskos transportlīdzekļus apstādina un novieto stāvēšanai tā, lai tie neierobežotu un netraucētu citu transportlīdzekļu pārvietošanos pa ceļiem un dabiskām brauktuvēm;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- 20.03.2024.)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iekavas ar vārdiem (apstāties un stāvēt), kā arī svītrot precizētās normas pēdējā teikuma ievaddaļu. Noteikumos nepieciešams noteikt, ka jebkurš teritorijas apmeklētājs, tai skaitā sēņotājs vai ogotājs, var novietot auto ceļa vai brauktuves malā, lai netraucētu pārvietošanos pa ceļiem un dabiskām brauktuvēm. Savukārt punktā minētajos izņēmuma gadījumos, apstāšanās vai stāvēšana var būt nepieciešama arī mežā vai uz lauka, piemēram, veicot lauksaimnieciskos vai meža darbus.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pārvietoties (arī apstāties un stāvēt) ar mehāniskajiem transportlīdzekļiem, tai skaitā automašīnām, traktortehniku, motocikliem, tricikliem, kvadricikliem, mopēdiem un sniega motocikliem brīvā dabā ārpus ceļiem un dabiskām brauktuvēm (ne vairāk kā četrus metrus plata neizbūvēta brauktuve meža vai lauksaimniecības zemes apsaimniekošanas un aizsardzības vajadzībām un valsts aizsardzības uzdevumu veikšanai), izņemot neitrālo zonu, pārvietošanos ar velosipēdiem, normatīvajos aktos noteiktajā kārtībā ierīkotās trasēs un gadījumus, ja pārvietošanās ir saistīta ar šo teritoriju apsaimniekošanu, tai skaitā medību saimniecību, uzraudzību, valsts aizsardzības uzdevumu veikšanu, sabiedriskās kārtības un drošības nodrošināšanu, ugunsdrošības pasākumu veikšanai vai glābšanas un meklēšanas darbiem, kā arī ar Dabas aizsardzības pārvaldes rakstveida atļauju zinātnisko pētījumu veikšanai. Mehāniskos transportlīdzekļus apstādina un novieto stāvēšanai tā, lai tie neierobežotu un netraucētu citu transportlīdzekļu pārvietošanos pa ceļiem un dabiskām brauktuvēm;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Regulējums netraucē teritorijas apmeklētāju auto novietošanu ceļa/ dabiskās brauktuves malā,jo to paredz normas otrs teikums (ka transportlīdzekli novieto tā, lai citi transportlīdzekļi varētu pabraukt garām). Tai pat laikā stāvēšanas un apstāšanās regulējums ir cieši saistīts ar pārvietošanos (nevar apstāties vai stāvēt, pirms tam nepārvietojoties) un būtu juridiskā skaidrība noteikumu kontroles ietvaros gadījumos, kad konstatētais transportlīdzeklis ir apstādināts mežaudzē/lauksaimniecībā izmantojamā zemē (piemēram, 50 metrus nost no ceļa/dabiskās brauktuves).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nekustamā īpašuma apsaimniekošanas darbiem, punkts neierobežo pārvietošanos (tai skaitā apstāšanos un stāvēšanu) visa īpašuma robežās. Precizēts otrais teikums, svītrojot tā ievaddaļu.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pārvietoties (arī apstāties un stāvēt) ar mehāniskajiem transportlīdzekļiem, tai skaitā automašīnām, traktortehniku, motocikliem, tricikliem, kvadricikliem, mopēdiem un sniega motocikliem brīvā dabā ārpus ceļiem un dabiskām brauktuvēm (ne vairāk kā četrus metrus plata neizbūvēta brauktuve meža vai lauksaimniecības zemes apsaimniekošanas un aizsardzības vajadzībām un valsts aizsardzības uzdevumu veikšanai), izņemot neitrālo zonu, pārvietošanos ar velosipēdiem, normatīvajos aktos noteiktajā kārtībā ierīkotās trasēs un gadījumus, ja pārvietošanās ir saistīta ar šo teritoriju apsaimniekošanu, tai skaitā medību saimniecību, uzraudzību, valsts aizsardzības uzdevumu veikšanu, sabiedriskās kārtības un drošības nodrošināšanu, ugunsdrošības pasākumu veikšanai vai glābšanas un meklēšanas darbiem, kā arī ar Dabas aizsardzības pārvaldes rakstveida atļauju zinātnisko pētījumu veikšanai. Mehāniskos transportlīdzekļus apstādina un novieto stāvēšanai tā, lai tie neierobežotu un netraucētu citu transportlīdzekļu pārvietošanos pa ceļiem un dabiskām brauktuvēm;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 pārvietoties (arī apstāties un stāvēt) ar mehāniskajiem transportlīdzekļiem, tai skaitā automašīnām, traktortehniku, motocikliem, tricikliem, kvadricikliem, mopēdiem un sniega motocikliem ārpus ceļiem</w:t>
            </w:r>
            <w:r w:rsidR="00000000" w:rsidRPr="00000000" w:rsidDel="00000000">
              <w:rPr>
                <w:color w:val="#1abc9c"/>
                <w:rtl w:val="0"/>
              </w:rPr>
              <w:t xml:space="preserve"> </w:t>
            </w:r>
            <w:r w:rsidR="00000000" w:rsidRPr="00000000" w:rsidDel="00000000">
              <w:rPr>
                <w:rtl w:val="0"/>
              </w:rPr>
              <w:t xml:space="preserve">un dabiskām brauktuvēm (ne vairāk kā četrus metrus plata neizbūvēta brauktuve meža vai lauksaimniecības zemes apsaimniekošanas un aizsardzības vajadzībām un valsts aizsardzības uzdevumu veikšanai), izņemot pārvietošanos ar velosipēdiem, normatīvajos aktos noteiktajā kārtībā ierīkotās trasēs un gadījumus, ja pārvietošanās ir saistīta ar šo teritoriju apsaimniekošanu, tai skaitā medību saimniecību, uzraudzību, valsts aizsardzības uzdevumu veikšanu, sabiedriskās kārtības un drošības nodrošināšanu, ugunsdrošības pasākumu veikšanai vai glābšanas un meklēšanas darbiem, kā arī ar Dabas aizsardzības pārvaldes rakstisku atļauju zinātnisko pētījumu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iekavas (apstāties un stāvēt) un normu attiecināt tikai uz mežiem. Šāds ierobežojums praktiski liedz visā aizsargājamo ainavu apvidū, neatkarīgi no zonas, apstāties un stāvēt ārpus ceļa vai dabiskas brauktuves. Tai skaitā māju pagalmos, infrastruktūru objektos un citos zemes lietojumu veidos. Tas liedz iespēju doties sēņot, ogot un atpūsties dabā. Dabiskās brauktuves mežā ir šauras (bieži šaurākas par 4m) un  automašīnas nereti tiek norievotas, nobraucot no tām un  atstājot iespēju citam transportlīdzeklim pabraukt garām. Līdz šim šāds aprobežojums ir noteikts dabas liegumu mežos, krasta kāpu aizsargjoslā un atsevišķās nelielās īpaši aizsargājamās teritorijās.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10.8. mežā pārvietoties ar mehāniskajiem transportlīdzekļiem, tai skaitā automašīnām, traktortehniku, motocikliem, tricikliem, kvadricikliem, mopēdiem un sniega motocikliem ārpus ceļiem un dabiskām brauktuvēm (ne vairāk kā četrus metrus plata neizbūvēta brauktuve meža vai lauksaimniecības zemes apsaimniekošanas un aizsardzības vajadzībām un valsts aizsardzības uzdevumu veikšanai), izņemot pārvietošanos ar velosipēdiem, normatīvajos aktos noteiktajā kārtībā ierīkotās trasēs un gadījumus, ja pārvietošanās ir saistīta ar šo teritoriju apsaimniekošanu, tai skaitā medību saimniecību, uzraudzību, valsts aizsardzības uzdevumu veikšanu, sabiedriskās kārtības un drošības nodrošināšanu, ugunsdrošības pasākumu veikšanai vai glābšanas un meklēšanas darbiem, kā arī ar Dabas aizsardzības pārvaldes rakstisku atļauju zinātnisko pētījumu veikšanai;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10.8. apakšpunkts precizēts, normu attiecinot uz pārvietošanos </w:t>
            </w:r>
            <w:r w:rsidR="00000000" w:rsidRPr="00000000" w:rsidDel="00000000">
              <w:rPr>
                <w:u w:val="single"/>
                <w:rtl w:val="0"/>
              </w:rPr>
              <w:t xml:space="preserve">brīvā dabā</w:t>
            </w:r>
            <w:r w:rsidR="00000000" w:rsidRPr="00000000" w:rsidDel="00000000">
              <w:rPr>
                <w:rtl w:val="0"/>
              </w:rPr>
              <w:t xml:space="preserve"> ārpus ceļiem un dabiskām brauktuvēm, kas neierobežo transportlīdzekļu pārvietošanos pagalmos, pa dabiskām brauktuvēm. Tāpat normu netiks attiecināta uz neitrālo zonu (valsts un pašvaldības satiksmes infrastruktūras objekti to nodalījuma joslas platībā, ciemu blīvi apbūvētās daļas). Lai mazinātu piemērošanas neskaidrības, apakšpunkts papildināts, ka stāvēšanai mašīnu novieto tā, ka citiem transportlīdzekļiem ir iespēja pabraukt garām. Normas mērķis ir ierobežot trešo personu patvaļīgu braukšanu (kas ietver arī apstāšanos un stāvēšanu) mežaudzēs,  lauksaimniecībā izmantojamās zemēs ārpus esošā brauktuvju tīkla, kas mežos jau vispārīgi ir paredzēts Meža likuma 5. panta pirmajā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ar skaidrojumu.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9.8. pārvietoties (arī apstāties un stāvēt) ar mehāniskajiem transportlīdzekļiem, tai skaitā automašīnām, traktortehniku, motocikliem, tricikliem, kvadricikliem, mopēdiem un sniega motocikliem brīvā dabā ārpus ceļiem un dabiskām brauktuvēm (ne vairāk kā četrus metrus plata neizbūvēta brauktuve meža vai lauksaimniecības zemes apsaimniekošanas un aizsardzības vajadzībām un valsts aizsardzības uzdevumu veikšanai), izņemot neitrālo zonu, pārvietošanos ar velosipēdiem, normatīvajos aktos noteiktajā kārtībā ierīkotās trasēs un gadījumus, ja pārvietošanās ir saistīta ar šo teritoriju apsaimniekošanu, tai skaitā medību saimniecību, uzraudzību, valsts aizsardzības uzdevumu veikšanu, sabiedriskās kārtības un drošības nodrošināšanu, ugunsdrošības pasākumu veikšanai vai glābšanas un meklēšanas darbiem, kā arī ar Dabas aizsardzības pārvaldes rakstveida atļauju zinātnisko pētījumu veikšanai. Mehāniskos transportlīdzekļus apstādina un novieto stāvēšanai tā, lai tie neierobežotu un netraucētu citu transportlīdzekļu pārvietošanos pa ceļiem un dabiskām brauktuvēm;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10.13. zemes īpašniekiem vai tiesiskajiem valdītājiem savā īpašumā vai valdījumā esošajā nekustamajā īpašumā ierobežot ainavu apvidus apmeklētāju pārvietošanos pa ceļiem un takām publisko dabas tūrisma, izziņas un atpūtas infrastruktūras objektu apskatei;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(LMIB - 08.11.2023.)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punkts ir pretrunā ar augstākas hierarhijas normatīvo aktu- Meža likumu. Meža likuma 5.panta 2.daļa nosaka, ka fizisko personu uzturēšanos un brīvu pārvietošanos mežā var ierobežot to īpašnieks vai tiesiskais valdītājs.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Protams, privātie meža īpašnieki reti ierobežo personu tiesības pārvietoties savos mežos, taču gadījumos, ja notiek regulāra īpašuma piesārņošana ar atkritumiem, kuri ne tikai piesārņo vidi, bet arī prasa īpašnieka resursus to savākšanai, vai ja ir precedenti, vai  riski. ka apmeklētāju darbību dēļ izceļas meža ugunsgrēki, zemes īpašniekam jābūt tiesībām ierobežot apmeklētāju pārvietošanos savā īpašumā.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10.13. apakšpunkts neattiecas uz jebkuru meža īpašumu, bet gan tiem ceļiem un takām, kas nepieciešami publisko dabas tūrisma, izziņas un atpūtas infrastruktūras objektu apskatei (piemēram, uz atpūtas vietām, skatu torņiem (ja tādu ierīkotu), dižkokiem). Šādas piekļuves vietas tiek veidotas, saskaņojot ar zemes īpašnieku (ja jaunierīkots objekts) vai, piemēram, attiecībā uz esošiem dabas pieminekļiem, vienojoties vai piemērojot Ministru kabineta 2022. gada 29. marta noteikumus Nr. 201 "Noteikumi par zaudējumiem, kas rodas, nodrošinot piekļuvi iekšzemes publiskajiem ūdeņiem, jūras piekrastes joslai un īpaši aizsargājamām dabas teritorijām"). Ainavu apvidus teritorijā ir viens ģeoloģiskais un ģeomorfoloģiskais dabas piemineklis "Rīteru sausgultne un karsta kritenes", kā arī vairāki dižkoki (galvenokārt, lauksaimniecības zemēs), bet kopumā teritorijā nav plaša dabas tūrisma, izziņas un atpūtas infrastruktūra un objekti, līdz ar to nosacījums potenciāli varētu skart (ja vispār) tikai dažus zemes īpašniekus.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pārvaldības likuma 6. panta pirmā daļa paredz, lai nodrošinātu piekļuvi iekšzemes publiskajiem ūdeņiem un īpaši aizsargājamām dabas teritorijām, kuru apmeklēšana ir atļauta saskaņā ar īpaši aizsargājamo dabas teritoriju aizsardzību un izmantošanu regulējošiem normatīvajiem aktiem, vietējā pašvaldība teritorijas plānojumā vai lokālplānojumā nosaka gājēju ceļu kā nekustamā īpašuma tiesību aprobežojumu par labu sabiedrības iespējai piekļūt šādai teritorijai un organizē gājēju ceļa ierīkošanu. Zemes īpašniekam ir tiesības uz aprobežojuma noteikšanas dēļ radušos zaudējumu atlīdzību.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9.13. zemes īpašniekiem, tiesiskajiem valdītājiem vai lietotājiem savā īpašumā, valdījumā  vai lietojumā esošajā nekustamajā īpašumā ierobežot ainavu apvidus apmeklētāju pārvietošanos pa ceļiem un takām publisko dabas tūrisma, izziņas un atpūtas infrastruktūras objektu apskatei;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10.14. atzarot augošus kokus mežaudzēs, izņemot koku atzarošanu skatu vietu ierīkošanai un uzturēšanai, elektropārvades un citu lineāro komunikāciju uzturēšanai, medību regulējošajos normatīvajos aktos noteiktajos gadījumos, kā arī satiksmes drošībai uz valsts, pašvaldību un komersantu ceļiem;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nav skaidrs, kas ir projekta 10.14. apakšpunktā minētie </w:t>
            </w:r>
            <w:r w:rsidR="00000000" w:rsidRPr="00000000" w:rsidDel="00000000">
              <w:rPr>
                <w:u w:val="single"/>
                <w:rtl w:val="0"/>
              </w:rPr>
              <w:t xml:space="preserve">valsts, pašvaldību un komersantu ceļi</w:t>
            </w:r>
            <w:r w:rsidR="00000000" w:rsidRPr="00000000" w:rsidDel="00000000">
              <w:rPr>
                <w:rtl w:val="0"/>
              </w:rPr>
              <w:t xml:space="preserve">, proti, valsts, pašvaldību un komersantu autoceļi vai kas 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projektā tiek lietoti dažādi termini attiecībā uz autoceļiem, piemēram, projekta 10.11. apakšpunktā minēti valsts autoceļi, projekta 16.10.4. apakšpunktā minēti autoceļi, projekta 16.11. apakšpunktā minēti autoceļi, tai skaitā komersantu, projekta 32. un 33. punktā ir minēti valsts un pašvaldību autoceļi. Turklāt vairākās projekta vienībās (piemēram, projekta 14.1., 14.7.3., 16.7.4., 16.7.6., 16.12.2., 20.4.1. un 30.5. apakšpunktā) tiek lietot termins "ceļi", bet nav skaidrs, kas tie ir.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attiecīgi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10.14. apakšpunkts precizēts, atzarošanu satiksmes drošībai attiecinot uz visa veida ceļiem (tai skaitā, māju ceļiem). Ceļa termins lietots likuma "Par autoceļiem" izpratnē kā visa veida autoceļi, kas sīkāk iedalās: valsts autoceļos; pašvaldību ceļos; komersantu ceļos (piemēram, AS "Latvijas valsts meži" meža ceļi); māju ceļos.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9.14. atzarot augošus kokus mežaudzēs, izņemot koku atzarošanu skatu vietu ierīkošanai un uzturēšanai, elektropārvades un citu lineāro komunikāciju uzturēšanai, medību regulējošajos normatīvajos aktos noteiktajos gadījumos, kā arī satiksmes drošībai uz ceļiem;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10.14. atzarot augošus kokus mežaudzēs, izņemot koku atzarošanu skatu vietu ierīkošanai un uzturēšanai, elektropārvades un citu lineāro komunikāciju uzturēšanai, medību regulējošajos normatīvajos aktos noteiktajos gadījumos, kā arī satiksmes drošībai uz valsts, pašvaldību un komersantu ceļiem;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ainavu vidē ir aizliegts atzarot augošus kokus mežaudzēs. Izņēmums ir paredzēts, ja nepieciešams satiksmes drošībai uz valsts, pašvaldību un komersantu ceļiem. Vēršam uzmanību, ka ceļi var piederēt arī fiziskām personām un ir arī māju ceļi. Lūdzam skaidrot, vai atbilstoši paredzētajam liegumam persona nedrīkst atzarot augošus kokus, ja tas ir māju ceļš un pieder fiziskajām personām un koki apdraud drošību, īpaši to, kas pārvietojas pa attiecīgajiem ceļiem.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10.14.apakšpunkts precizēts, atzarošanu satiksmes drošībai attiecinot uz visa veida ceļiem (tai skaitā, māju ceļiem).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9.14. atzarot augošus kokus mežaudzēs, izņemot koku atzarošanu skatu vietu ierīkošanai un uzturēšanai, elektropārvades un citu lineāro komunikāciju uzturēšanai, medību regulējošajos normatīvajos aktos noteiktajos gadījumos, kā arī satiksmes drošībai uz ceļiem;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9.16. veikt galveno cirti visās platlapju (ozoli, oši, liepas, kļavas, vīksnas, gobas) un melnalkšņu audzēs.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- 20.03.2024.)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vārdu "galveno cirti"ar vārdu "kailcirti".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piekrīt, ka platlapju audzes var būt bioloģiski nozīmīgas, tomēr to pastāvēšana un veidošanās arī nākotnē ir saistīta ar meža īpašnieka izvēli. Galvenās cirtes aizliegums, nemotivē meža apsaimniekot tā, lai veidotos un saglabātos platlapju koku mežaudzes.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9.16. veikt kailcirti visās platlapju (ozoli, oši, liepas, kļavas, vīksnas, gobas) un melnalkšņu audzēs.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Pamatojums norādīts izziņas 15.punktā.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9.16. veikt galveno cirti visās platlapju (ozoli, oši, liepas, kļavas, vīksnas, gobas) un melnalkšņu audzēs.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10.16. veikt galveno cirti visās platlapju (ozoli, oši, liepas, kļavas, vīksnas, gobas) un melnalkšņu audzēs.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Neatbalstām noteikt galvenās cirtes aizliegumu platlapju koku audzēs kā vispārēju aizliegumu visā aizsargājamo ainavu apvidū. Šis ir ļoti būtisks aprobežojums, kas neveicinās šādu audžu veidošanos un audzēšanu.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10.16. veikt kailcirti visās platlapju (ozoli, oši, liepas, kļavas, vīksnas, gobas) un melnalkšņu audzēs.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Ainavu apvidū ir tikai 52 ha platlapju audzes (no tām ozols - 14,71 ha; osis - 27.57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platauša sugas aizsardzības plānā norādīts, ka platauši vasaras pirmajā pusē potenciāli barojas bagātākos, visticamāk platlapju biotopos, kas sakrīt gan ar to sastopamību pētījumu teritorijā esošajos parkos, gan arī ar literatūrā atrodamo informāciju (Zeale et al., 2012). Līdz ar to ņemot vērā jau tā nelielo platlapju audžu pārstāvību ainavu apvidus teritorijā, tie ir saglabājami kā barošanās biotopi plataušiem, kā arī vienlaikus potenciāli kā dzīvotnes arī citām īpaši aizsargājamām sugām.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ošu, vīksnu, gobu slimību izplatību, to veidošana (jaunās platībās) ir apšaubāma, pat ja būtu atļautas kailcirtes.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ozolu, kuram līdz galvenās cirtes vecumam (100 gadi) ir iespējama krājas kopšanas cirtes (dabas lieguma zonā - līdz 70 gadiem), ozola jaunaudžu veidošanas problemātika (aizsardzība pret pārnadžiem un grauzējiem) un citu sugu koku "tirgus pievilcība" ministrijas ieskatā ir būtiskākie iemesli jaunu ozolu audžu neveidošanai.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piemēru var minēt melnalkšņu audzes, kurās ar vispārīgi atļautu galveno cirti (t.sk. kailcirti), ainavu apvidus teritorijā ir konstatētas platības, kur pēc melnalkšņu audžu ciršanas kailcirtē, platība ir atjaunota tikai ar egli.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9.16. veikt galveno cirti visās platlapju (ozoli, oši, liepas, kļavas, vīksnas, gobas) un melnalkšņu audzēs.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10.16. veikt galveno cirti visās platlapju (ozoli, oši, liepas, kļavas, vīksnas, gobas) un melnalkšņu audzēs.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(LMIB - 08.11.2023.)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par vispārīgu ierobežojumu veikt galveno cirti visās platlapju ozolu, ošu un melnalkšņu audzēs. Šādas normas attiecināšana uz visu teritorijas platību novedīs pie platlapju koku sugu un melnalkšņu audžu samazināšanos nākotnē, jo šādu aprobežojumu noteikšana nozīmēs to, zemes īpašnieki atteiksies no šo sugu audzēšanas savos mežos un neveiks stādīšanu izmantojot šo koku sugu stādus. Šāda kļūda tika pieļauta  ieviešot normu Ministru kabineta noteikumos "Noteikumi par koku ciršanu meža", ierobežojot kailcirtes veikšanu ozolu mežos. Kā liecina meža īpašnieku sniegtā informācija, tas izraisīja ozolu stādījumu būtisku samazināšanos.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tam, cieto lapu koku koksnes vērtība ir augstāka nekā citu koku sugu koksnes vērtība un nepastāvot taisnīgai kompensāciju sistēmai, šāda norma īpaši netaisnīgi ietekmēs tos īpašniekus, kuru mežos atrodas tiesību normas  projektā minēto koku sugu audzes.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kompromisa variants varētu būt normas attiecināšana tikai uz regulējamā režīma zonu.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Ainavu apvidū ir tikai 52 ha platlapju audzes (no tām ozols - 14,71 ha; osis - 27.57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platauša sugas aizsardzības plānā norādīts, ka platauši vasaras pirmajā pusē potenciāli barojas bagātākos, visticamāk platlapju biotopos, kas sakrīt gan ar to sastopamību pētījumu teritorijā esošajos parkos, gan arī ar literatūrā atrodamo informāciju (Zeale et al., 2012). Līdz ar to ņemot vērā jau tā nelielo platlapju audžu pārstāvību ainavu apvidus teritorijā, tie ir saglabājami kā barošanās biotopi plataušiem, kā arī vienlaikus potenciāli kā dzīvotnes arī citām īpaši aizsargājamām sugām.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ošu, vīksnu, gobu slimību izplatību, to veidošana (jaunās platībās) ir apšaubāma, pat ja būtu atļautas kailcirtes.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ozolu, kuram līdz galvenās cirtes vecumam (100 gadi) ir iespējama krājas kopšanas cirtes (dabas lieguma zonā - līdz 70 gadiem), ozola jaunaudžu veidošanas problemātika (aizsardzība pret pārnadžiem un grauzējiem) un citu sugu koku "tirgus pievilcība" ministrijas ieskatā ir būtiskākie iemesli jaunu ozolu audžu neveidošanai.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piemēru var minēt melnalkšņu audzes, kurās ar vispārīgi atļautu galveno cirti (t.sk. kailcirti), ir konstatētas (tai skaitā, arī plānotās ainavu apvidus teritorijā) platības, kur pēc melnalkšņu audžu ciršanas kailcirtē, platība ir tikusi atjaunota tikai ar egli.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9.16. veikt galveno cirti visās platlapju (ozoli, oši, liepas, kļavas, vīksnas, gobas) un melnalkšņu audzēs.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ceļu uzturēšana nodalījuma joslas platumā no 1. augusta līdz 31. janvārim;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Ceļu satiksmes likuma 6.panta trešajā daļā ir noteikti ceļa pārvaldītāja pienākumi, tas ir, nodrošināt, lai nekavējoties tiktu novērsti šķēršļi, kas traucē satiksmi un apdraud tās drošību, bet, ja tas nav iespējams, nodrošināt bīstamo vietu aprīkošanu ar atbilstošiem satiksmes organizācijas tehniskajiem līdzekļiem līdz šo šķēršļu likvidēšanai. Ņemot vērā minēto, nav atbalstāms noteiktais laika perioda ierobežojums no 1. augusta līdz 31. janvārim veikt ceļu uzturēšanu. Līdz ar to lūdzam precizēt 14.1. apakšpunktu atbilstoši piedāvātajai redakcijai.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 ceļu uzturēšana nodalījuma joslas platumā;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Regulējumā režīma zonā ir atsevišķas nelielas teritorijas (esošie mikroliegumi), kurās vai nu nav vai tikai robežojas ar komersantu (meža) ceļiem (likuma "Par autoceļiem" izpratnē), līdz ar to esošo ceļu klātnes uzturēšanu 14.1.apakšpunkts neierobežo (arī laika posmā no 1. janvārim līdz 1. augustam).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 ceļu uzturēšana nodalījuma joslas platumā no 1. augusta līdz 31. janvārim;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ugunsdrošības pasākumu veikšana (mineralizēto joslu un ugundrošības brauktuvju uzturēšana);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ugunsdrošības pasākumu veikšana, tai skaitā meža ugunsdrošības meža infrastruktūras objektu uzturēšana un ierīkošana;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apakšpunkts attiecas uz regulējamā režīma zonu, kas ir atsevišķās nelielās platībās, līdz ar to nav pamatoti tajās veidot </w:t>
            </w:r>
            <w:r w:rsidR="00000000" w:rsidRPr="00000000" w:rsidDel="00000000">
              <w:rPr>
                <w:u w:val="single"/>
                <w:rtl w:val="0"/>
              </w:rPr>
              <w:t xml:space="preserve">jaunus </w:t>
            </w:r>
            <w:r w:rsidR="00000000" w:rsidRPr="00000000" w:rsidDel="00000000">
              <w:rPr>
                <w:rtl w:val="0"/>
              </w:rPr>
              <w:t xml:space="preserve">ugunsdrošības meža infrastruktūras objektus.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 ugunsdrošības pasākumu veikšana (mineralizēto joslu un ugunsdzēsības un glābšanas tehnikas brauktuvju uzturēšana);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mežaudzēs izvākt nokaltušus kritušus kokus (tai skaitā kritalas) vai nocirstus sausos kokus vai to daļas, kuru caurmērs ir lielāks par 25 centimetriem, ja kopējais mirušās koksnes apjoms ir mazāks par 20 kubikmetru uz ha;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novērst egļu astoņzobu mizgraužu izplatīšanos, nepieciešams noteikt izņēmumu uz egli.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16.4. mežaudzēs izvākt nokaltušus kritušus kokus (tai skaitā kritalas), izņemot egļu astoņzobu mizgrauža invadētas egles,  vai nocirstus sausos kokus vai to daļas, kuru caurmērs ir lielāks par 25 centimetriem, ja kopējais mirušās koksnes apjoms ir mazāks par 20 kubikmetru uz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Veids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Nokaltušos kokos (kritalās vai nocirstos sausos kokos (piemēram, kas ir bijuši invadēti iepriekšējā gadā) mizgrauzis vairs neuzturas, šādi koki nav bīstami egļu astoņzobu mizgraužu izplatīšanās nozīmē. Apakšpunkts nav vērsts uz svaigi invadēto egļu ciršanu. 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15.4. mežaudzēs izvākt nokaltušus kritušus kokus (tai skaitā kritalas) vai nocirstus sausos kokus vai to daļas, kuru caurmērs ir lielāks par 25 centimetriem, ja kopējais mirušās koksnes apjoms ir mazāks par 20 kubikmetru uz hektāru;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16.7.1. meža ugunsdrošības pasākumus (tai skaitā mineralizēto joslu un brauktuvju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ugunsdrošība ir pasākumu kopums, kuru uzdevums nepieļaut meža ugunsgrēku izcelšanos un kavēt izcēlušos ugunsgrēku izplatīšanos.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Meža valsts reģistra no šīs platības vairāk kā 11 000 ha sastāda I un II ugunsbīstamības klases mežaudzes, kas būtiski palielina ugunsbīstamības riskus. Tāpēc pastāv risks minētājā teritorijā meža ugunsgrēkiem kļūt plašiem un nekontrolējamiem.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uzturam iepriekš izteiktos iebildumus, par nepieciešamību atļaut uzturēt un ierīkot meža infrastruktūras objektus visas ugunsdzēsības sezonās garumā, ugunsapsardzības norošināšanai.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Visās zonās ir atļauta mineralizēto joslu un brauktuvju uzturēšana (arī sezonas ierobežojuma periodā) ugunsdrošības vajadzībām. Jaunu infrastruktūras objektu (ja tādi nepieciešami) ierīkošana vai pārbūve veicama ārpus sezonas mežsaimnieciskās darbības ierobežojuma perioda, ievērojot vides normatīvo aktu prasības par šādu paredzēto darbību atbilstošu ietekmes uz vidi (Natura 2000 teritoriju) izvērtējumu, kā tas norādīts arī Eiropas Savienības Tiesas 2023. gada 7. decembra spriedumā lietā C-434/22, kā arī ņemot vērā, ka piemēram, regulējamā režīma un dabas lieguma zonas ir atsevišķas nelielas teritorijas, kuras turklāt piekļaujas vai šķērso jau izbūvēti ceļi vai vieglāka režīma funkcionālās zonas.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15.7.1. meža ugunsdrošības pasākumus (tai skaitā mineralizēto joslu un brauktuvju uzturēšanu);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16.7.1. meža ugunsdrošības pasākumus (tai skaitā mineralizēto joslu un ugundrošības brauktuvju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ugunsdrošības pasākumu veikšanu, tai skaitā meža ugunsdrošības meža infrastruktūras objektu uzturēšanu un ierīkošanu;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16.7.1. apakšpunkts attiecas uz terminētu (no 15.marta līdz 31.jūlijam) ierobežojumu, līdz ar to jauni meža ugunsdrošības meža infrastruktūras objekti, ja nepieciešami, ierīkojami ārpus sezonālā ierobežojuma (kas vērsts uz traucējumu plataušiem un citiem mugurkaulniekiem to vairošanas periodā novēršanu) perioda.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15.7.1. meža ugunsdrošības pasākumus (tai skaitā mineralizēto joslu un brauktuvju uzturēšanu);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16.10.3. publiski pieejamu dabas tūrisma, izziņas un atpūtas infrastruktūras objektu (tai skaitā taku, gājēju celiņu, veloceliņu, stāvlaukumu, skatu platformu, skatu torņu) būvniecībai;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lietot Ministru kabineta 2015. gada 2. jūnija noteikumu Nr. 279 "Ceļu satiksmes noteikumi" 12.5. apakšpunktā noteikto terminu  "gājēju ceļš" un 2.30. apakšpunktā noteikto terminu "velosipēdu ceļš".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16.10.3. publiski pieejamu dabas tūrisma, izziņas un atpūtas infrastruktūras objektu (tai skaitā taku, gājēju ceļu, velosipēdu ceļu, stāvlaukumu, skatu platformu, skatu torņu) būvniecībai;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16.10.3.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15.10.3. publiski pieejamu dabas tūrisma, izziņas un atpūtas infrastruktūras objektu (tai skaitā taku, gājēju ceļu, velosipēdu ceļu, stāvlaukumu, skatu platformu, skatu torņu) būvniecībai;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16.10.4. ārējo inženiertīklu, ielu un autoceļu būvniecībai esošās vai šajos noteikumos atļautās apbūves vajadzībām, ja nepastāv citas (ārpus dabas lieguma zonas) inženiertīklu ierīkošanas vai piekļuves iespējas, ievērojot Dabas aizsardzības pārvaldes norādītos pasākumus īpaši aizsargājamo sugu un īpaši aizsargājamo biotopu aizsardzībai;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nosacījumus attiecībā uz ielu un autoceļu būvniecību iekļaut šo noteikumu 16.11. apakšpunktā, kā arī lietot terminu "ceļš", jo atbilstoši Ceļu satiksmes likuma 1. panta trešajai daļai "ceļš" ir jebkura satiksmei izbūvēta teritorija, ieskaitot autoceļus un ielas.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16.10.4. ārējo inženiertīklu būvniecībai esošās vai šajos noteikumos atļautās apbūves vajadzībām, ja nepastāv citas (ārpus dabas lieguma zonas) inženiertīklu ierīkošanas vai piekļuves iespējas, ievērojot Dabas aizsardzības pārvaldes norādītos pasākumus īpaši aizsargājamo sugu un īpaši aizsargājamo biotopu aizsardzībai;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10.10.4.apakšpunkta terminoloģija, visā noteikumu projekta tekstā lietojot vārdu "ceļš".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10.10. apakšpunkts attiecas uz zemes lietošanas kategorijas maiņu un ja šajā apakšpunktā netiks pieminēti ceļi (piekļuves nodrošināšanai esošās vai šajos noteikumos atļautās apbūves vajadzībām), gadījumā, ja ceļa izbūves gadījumā mainīsies zemes lietošanas kategorija (piem., no mežs uz zemi zem ceļiem), tad tikai atbilstoši 16.11. apakšpunktam tas nebūs iespējams.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15.10.4. inženierbūvju, tai skaitā ceļu būvniecībai esošās vai šajos noteikumos atļautās apbūves vajadzībām, ugunsdrošības nodrošināšanai, ja nepastāv citas (ārpus dabas lieguma zonas) inženierbūvju ierīkošanas vai piekļuves iespējas, ievērojot Dabas aizsardzības pārvaldes norādītos pasākumus īpaši aizsargājamo sugu un īpaši aizsargājamo biotopu aizsardzībai. Meža ugunsdrošības kritiskās meža infrastruktūras objekti attēloti šo noteikumu </w:t>
            </w:r>
            <w:r w:rsidR="00000000" w:rsidRPr="00000000" w:rsidDel="00000000">
              <w:rPr>
                <w:rtl w:val="0"/>
              </w:rPr>
              <w:t xml:space="preserve">4. </w:t>
            </w:r>
            <w:r w:rsidR="00000000" w:rsidRPr="00000000" w:rsidDel="00000000">
              <w:rPr>
                <w:rtl w:val="0"/>
              </w:rPr>
              <w:t xml:space="preserve">pielikumā</w:t>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16.12.1. organizēt brīvā dabā publiskus pasākumus, kā arī sporta, piedzīvojumu un citu veidu sacensības, kurās piedalās vairāk nekā 50 cilvēku, izņemot publiskus pasākumus un sacensības, kas tiek organizētas šim nolūkam paredzētās un speciāli ierīkotās vietās;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projekta 16.12.1. un 20.4.3. apakšpunktā paredzētais regulējums par publisku pasākumu organizēšanu ir neskaidrs.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publisku pasākumu organizēšanas kārtību paredz Publisku izklaides un svētku pasākumu drošības likums. Tā, piemēram, Publisku izklaides un svētku pasākumu drošības likuma 5. panta otrā daļa noteic, ka </w:t>
            </w:r>
            <w:r w:rsidR="00000000" w:rsidRPr="00000000" w:rsidDel="00000000">
              <w:rPr>
                <w:u w:val="single"/>
                <w:rtl w:val="0"/>
              </w:rPr>
              <w:t xml:space="preserve">atļauja publisku pasākumu rīkošanai nav nepieciešama, ja tos rīko valsts vai pašvaldības iestāde, kā arī publisku pasākumu rīkošanai telpās un publisku sporta pasākumu rīkošanai sporta bāzēs. Publisku sporta pasākumu rīkošanai autosportā, motosportā un ūdens motosportā neatkarīgi no to norises vietas ir nepieciešama atļauja publisku pasākumu rīkošanai, izņemot gadījumu, kad publisku sporta pasākumu rīko valsts vai pašvaldības iestāde</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projekta 16.12.1. un 20.4.3. apakšpunktā paredzēto regulējumu un nepieciešamības gadījumā precizēt to, kā arī papildināt anotāciju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paredzētais 16.12.1. apakšpunkts vērsts uz publisko pasākumu ietekmes uz vidi novēršanu/mazināšanu (piemēram, novērst traucējumu īpaši aizsargājamām sugām (mugurkaulniekiem) vai to atradnēm (augiem nomīdīšana utml.) vai ES nozīmes biotopiem (zemsedzes bojāšana), kam nav deleģējums no Publisku izklaides un svētku pasākumu drošības likuma, bet gan izriet no likuma "Par īpaši aizsargājamām dabas teritorijām" 17.panta, ka aizsargājamās teritorijas individuālie aizsardzības un izmantošanas noteikumi reglamentē pieļaujamo un aizliegto darbību veidus šajā teritorijā. Lai izvērtētu pasākumu ietekmi un noteiktu nosacījumus, ja nepieciešams (piemēram, ārpus ligzdošanas perioda (ja blakus konstatēta atradne) vai pārvietoties tikai pa ceļiem un dabiskām brauktuvēm), nepieciešama Dabas aizsardzības pārvaldes rakstveida atļauja.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15.12.1. organizēt brīvā dabā publiskus pasākumus, tai skaitā sporta, piedzīvojumu un citu veidu sacensības, kurās piedalās vairāk nekā 50 cilvēku, izņemot publiskus pasākumus, tai skaitā sacensības, kas tiek organizētas šim nolūkam paredzētās un speciāli ierīkotās vietās;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20.3.1. meža ugunsdrošības pasākumus (tai skaitā mineralizēto joslu un brauktuvju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ugunsdrošība ir pasākumu kopums, kuru uzdevums nepieļaut meža ugunsgrēku izcelšanos un kavēt izcēlušos ugunsgrēku izplatīšanos.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Meža valsts reģistra no šīs platības vairāk kā 11 000 ha sastāda I un II ugunsbīstamības klases mežaudzes, kas būtiski palielina ugunsbīstamības riskus. Tāpēc pastāv risks minētājā teritorijā meža ugunsgrēkiem kļūt plašiem un nekontrolējamiem.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uzturam iepriekš izteiktos iebildumus, par nepieciešamību atļaut uzturēt un ierīkot meža infrastruktūras objektus visas ugunsdzēsības sezonās garumā, ugunsapsardzības norošināšanai.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 no ainavu apvidus (tai skaitā, komersantu ceļi) ir ainavu aizsardzības zonā, kurā ir atļauta (tāpat kā pārējās funkcionālajās zonās) mineralizēto joslu un brauktuvju uzturēšana (arī sezonas ierobežojuma periodā) ugunsdrošības vajadzībām. Jaunu infrastruktūras objektu (ja tādi nepieciešami) ierīkošana vai pārbūve veicama ārpus sezonas mežsaimnieciskās darbības ierobežojuma perioda, ievērojot vides normatīvo aktu prasības par šādu paredzēto darbību kompleksu un atbilstošu ietekmes uz vidi (Natura 2000 teritoriju) izvērtējumu, kā tas norādīts arī Eiropas Savienības Tiesas 2023. gada 7. decembra spriedumā lietā C-434/22.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19.3.1. meža ugunsdrošības pasākumus (tai skaitā mineralizēto joslu un brauktuvju uzturēšanu);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20.3.1. meža ugunsdrošības pasākumus (tai skaitā mineralizēto joslu un ugunsdrošības brauktuvju uzturēšana);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ugunsdrošības pasākumu veikšanu, tai skaitā meža ugunsdrošības meža infrastruktūras objektu uzturēšanu un ierīkošanu;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20.3.1. apakšpunkts attiecas uz terminētu (no 15.marta līdz 31.jūlijam) ierobežojumu, līdz ar to jauni meža ugunsdrošības meža infrastruktūras objekti, ja nepieciešami, ierīkojami ārpus sezonālā ierobežojuma (kas vērsts uz traucējumu plataušiem un citiem mugurkaulniekiem to vairošanas periodā novēršanu) perioda.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19.3.1. meža ugunsdrošības pasākumus (tai skaitā mineralizēto joslu un brauktuvju uzturēšanu);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20.3.2. bīstamo koku ciršanu un novākšanu, tos atstājot mežaudzē (neattiecas uz egļu astoņzobu mizgraužu invadētām eglēm);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Kādēļ jāgaida izvešana līdz 31.jūlijam?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palīgteikumu.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20.3.2. bīstamo koku ciršanu un novākšanu;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20.3.2.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19.3.2. bīstamo koku ciršanu un novākšanu;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meža ugunsdrošības pasākumus (tai skaitā mineralizēto joslu un brauktuvju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ugunsdrošība ir pasākumu kopums, kuru uzdevums nepieļaut meža ugunsgrēku izcelšanos un kavēt izcēlušos ugunsgrēku izplatīšanos.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Meža valsts reģistra no šīs platības vairāk kā 11 000 ha sastāda I un II ugunsbīstamības klases mežaudzes, kas būtiski palielina ugunsbīstamības riskus. Tāpēc pastāv risks minētājā teritorijā meža ugunsgrēkiem kļūt plašiem un nekontrolējamiem.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uzturam iepriekš izteiktos iebildumus, par nepieciešamību atļaut uzturēt un ierīkot meža infrastruktūras objektus visas ugunsdzēsības sezonās garumā, ugunsapsardzības norošināšanai.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 no ainavu apvidus (tai skaitā, komersantu ceļi) ir ainavu aizsardzības zonā, kurā ir atļauta (tāpat kā pārējās funkcionālajās zonās) mineralizēto joslu un brauktuvju uzturēšana (arī sezonas ierobežojuma periodā) ugunsdrošības vajadzībām. Jaunu infrastruktūras objektu (ja tādi nepieciešami) ierīkošana vai pārbūve veicama ārpus sezonas mežsaimnieciskās darbības ierobežojuma perioda, ievērojot vides normatīvo aktu prasības par šādu paredzēto darbību kompleksu un atbilstošu ietekmes uz vidi (Natura 2000 teritoriju) izvērtējumu, kā tas norādīts arī Eiropas Savienības Tiesas 2023. gada 7. decembra spriedumā lietā C-434/22.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meža ugunsdrošības pasākumus (tai skaitā mineralizēto joslu un brauktuvju uzturēšanu);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meža ugunsdrošības pasākumus (tai skaitā mineralizēto joslu, ugunsdrošības brauktuvju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ugunsdrošības pasākumu veikšanu, tai skaitā meža ugunsdrošības meža infrastruktūras objektu uzturēšanu un ierīkošanu;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apakšpunkts attiecas uz terminētu (no 15.marta līdz 31.jūlijam) ierobežojumu, līdz ar to jauni meža ugunsdrošības meža infrastruktūras objekti, ja nepieciešami, ierīkojami ārpus sezonālā ierobežojuma (kas vērsts uz traucējumu plataušiem un citiem mugurkaulniekiem to vairošanas periodā novēršanu) perioda.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meža ugunsdrošības pasākumus (tai skaitā mineralizēto joslu un brauktuvju uzturēšanu);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Aizsargājamo ainavu apvidus ''Koknese-Odziena" funkcionālo zonu shēma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(SAM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kartē norādīto informāciju, iekļaujot arī izbūvēto autoceļa P80 Tīnuži - Koknese posmu un perspektīvo E22 posma Koknese - Pļaviņas trasi.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Kartogrāfiskais materiāls. Pieejams teritoriju plānojums - Aizkraukles novada Pļaviņu pilsētas, Aiviekstes pagasta, Klintaines pagasta un Vietalvas pagasta teritorijas plānojums (6.2 redakcija) https://geolatvija.lv/geo/tapis#document_26853 Kokneses novada teritorijas plānojums 2013.-2024.gadam (1.0 redakcija) https://geolatvija.lv/geo/tapis#document_145.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Papildinātas ainavu apvidus funkcionālā zonējuma shēmas.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Aizsargājamo ainavu apvidus ''Koknese-Odziena" funkcionālo zonu shēma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(LMIB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vairāk kā pusi no jaunveidojamās aizsargājamās teritorijas paredzēts izvietot privātīpašumā esošajās zemēs, aicinām ievērot Tieslietu ministrijas izteikto viedokli par satversmības vērtējuma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Skatīt izziņas 1.punktu. Tāpat anotācija iepriekš ir papildināta ar noteikumu projekta normu pamatojumiem.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(LMIB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Nevaram piekrist, ka ir ticis izvērtēts  prasību un izmaksu samērīgums pret ieguvumiem. Pirmkārt, nekur anotācijā nav dota informācija par jaunveidojamās teritorijas sociālekonomisko ietekmi. Otrkārt, anotācijā pieminētā kompensāciju sistēma par saimnieciskās darbības aprobežojumiem nav taisnīga un sedz tikai niecīgu daļu no privātpersonām nodarītajiem zaudējumiem (neiegūtais labums) kas rodas no plānotās saimnieciskās darbības aprobežojumiem. 16.janvārī apstiprinātajā valdības rīcības plāna punkts 32.6. nosaka, ka tiek Ieviesta taisnīga kompensāciju sistēma par saimnieciskās darbības aprobežojumiem, kas pārskatīta  un izveidota ar lauksaimniecību un mežsaimniecību saistīto dabas resursu efektīvu un ilgtspējīgu pārvaldības modeli. Aicinām anotācijā  paredzēt taisnīgas kompensāciju sistēmas ieviešanas nepieciešamību!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I sadaļas 1.6.apakšpunktā ir pievienota informācija par Ministru kabineta 2023. gada 21. novembra sēdes protokollēmuma (prot. Nr. 58 63. §) "Noteikumu projekts "Noteikumi par dabas liegumiem"" (TA-23-TA-621) 3. punktā doto uzdevumu līdz 2024.gada 31.maijam iesniegt izskatīšanai Ministru kabinetā priekšlikumus par efektīvāko piedāvājumu kompensāciju nodrošināšanai par saimnieciskās darbības ierobežojumiem īpaši aizsargājamās dabas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2.sadaļā ir norādīta noteikumu projekta ekonomiskā ietekme. Tāpat caur funkcionālo zonējumu (dabas lieguma zonu paredzot galvenokārt valsts zemēs) un funkcionālo zonu prasībām ir izvērtētas un līdzsvarotas nekustamā īpašuma izmantošanas un dabas vērtību aizsardzības prasības atbilstoši zinātniskajai informācijai par Eiropas platauša un citu īpaši aizsargājamo sugu ekoloģiskajām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cik ainavu apvidus ir plaša teritorija, ar iekļautām esošām apdzīvotām vietām (Odzienas, Stukmaņu un Īvānu ciemiem),  lūdzu papildināt anotāciju ar sekojošu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Meža valsts reģistra no šīs platības vairāk kā 11 000 ha sastāda I un II ugunsbīstamības klases mežaudzes, kas būtiski palielina ugunsbīstamības riskus. Tāpēc pastāv risks minētājā teritorijā meža ugunsgrēkiem kļūt plašiem un nekontrolējamiem un meža ugunsdrošības nodrošināšana šādā teritorijā ir būtiski svarīga.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Nepieciešamībās gadījumā VMD var sniegt kartogrāfisko materiālu ar attēlotajiem meža infrastruktūras objektiem, kas nepieciešami ugunsapsardzībai.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 Vienlaikus jāņem vērā, ka daļa norādīto audžu ir jaunaudzes, tāpat starp ciemiem un mežu masīviem ir lauksaimniecībā izmantojamās zemes, kā arī 77% ainavu apvidus (tai skaitā, komersantu ceļi) ir ainavu aizsardzības zonā, kurā ir atļauta (tāpat kā pārējās funkcionālājās zonās) mineralizēto joslu un brauktuvju uzturēšana (ar sezonas ierobežojuma periodā) ugunsdrošības vajadzībām. Jaunu infrastruktūras objektu (ja tādi nepieciešami) ierīkošana vai pārbūve veicama ārpus sezonas mežsaimnieciskās darbības ierobežojuma perioda, ievērojot vides normatīvo aktu prasības par šādu paredzēto darbību atbilstošu ietekmes uz vidi (Natura 2000 teritoriju) izvērtējumu, kā tas norādīts arī Eiropas Savienības Tiesas 2023. gada 7. decembra spriedumu lietā C-434/22.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nekustamā īpašuma nodokli” 3.panta 1.</w:t>
            </w:r>
            <w:r w:rsidR="00000000" w:rsidRPr="00000000" w:rsidDel="00000000">
              <w:rPr>
                <w:vertAlign w:val="superscript"/>
                <w:rtl w:val="0"/>
              </w:rPr>
              <w:t xml:space="preserve">1</w:t>
            </w:r>
            <w:r w:rsidR="00000000" w:rsidRPr="00000000" w:rsidDel="00000000">
              <w:rPr>
                <w:rtl w:val="0"/>
              </w:rPr>
              <w:t xml:space="preserve">daļa nosaka, ka ar nekustamā īpašuma nodokļa papildlikmi 1,5 procentu apmērā apliek neapstrādātu lauksaimniecībā izmantojamo zemi, izņemot zemi, kuras platība nepārsniedz vienu hektāru vai kurai normatīvajos aktos ir noteikti lauksaimnieciskās darbības ierobežojumi. Minēto papildlikmi piemēro arī tad, ja pašvaldība neapstrādātai lauksaimniecībā izmantojamai zemei ir noteikusi nekustamā īpašuma nodokļa likmi savos saistošajos noteikumos saskaņā ar minētā likuma 3.panta pirmo daļu. Tādējādi lūdzam precizēt Ministru kabineta noteikumu projekta anotācijas 7.lpp. ietverto atsauci uz atbilstošo likuma “Par nekustamā īpašuma nodokli” pantu un sniegt skaidri saprotamu sasaisti ar problēmas un risinājuma aprakstu attiecībā uz likuma “Par nekustamā īpašuma nodokli” 3.panta 1.</w:t>
            </w:r>
            <w:r w:rsidR="00000000" w:rsidRPr="00000000" w:rsidDel="00000000">
              <w:rPr>
                <w:vertAlign w:val="superscript"/>
                <w:rtl w:val="0"/>
              </w:rPr>
              <w:t xml:space="preserve">1</w:t>
            </w:r>
            <w:r w:rsidR="00000000" w:rsidRPr="00000000" w:rsidDel="00000000">
              <w:rPr>
                <w:rtl w:val="0"/>
              </w:rPr>
              <w:t xml:space="preserve">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anotācijā sadaļā “Pamatojums” ietvert detalizētu projekta satversmīguma izvērtējumu. Secinājums anotācijā, ka projekts atbilst Satversmei, nav uzskatāms par izvērstu un pamatotu satversmīguma izvērtējumu.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izveidot jaunu īpaši aizsargājamu teritoriju, nosakot virkni īpašuma lietošanas tiesību aprobežojumus, aizliedzot veikt dažādas darbības ar lielāku vai mazāku ietekmi uz personas īpašuma tiesībām (piemēram, aizliegums veikt saimniecisko darbību, sadalīt īpašumu, veikt būvniecību, veidot jaunus ceļus, izbūvēt vēja parkus, ierīkot dzīvnieku audzētavas un citi). No anotācijas izriet, ka no visas teritorijas, vismaz 50% skars privātpersonu īpašumus. Taču anotācijā nav ietverts privātpersonu īpašuma tiesību ierobežojuma satversmīguma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Civillikuma 927. pants noteic, ka īpašums ir pilnīgas varas tiesības par lietu, t.i. tiesība valdīt un lietot to, iegūt no tās visus iespējamos labumus un ar to rīkoties. Tāpat arī no Latvijas Republikas Satversmes 105. panta izriet, ka valsts aizsargā ikviena tiesības uz īpašumu. Vienlaikus īpašuma tiesības nav absolūtas un valstij ir tiesības aprobežot privātpersonu īpašuma lietošanas tiesības, tomēr ik katram aprobežojumam ir jābūt izvērtētam, pamatotam un samērīgam.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nepieciešams anotāciju papildināt ar detalizētu katra aprobežojuma samērīguma (atbilstību Latvijas Republikas Satversmes 105. pantam) izvērtējumu, turklāt norādot, vai un kā īpašumtiesību aprobežojums tiks kompensēts, vai kādēļ netiks kompensēts, vai kādi ir alternatīvie mehānismi, kas nodrošinās samērīgumu starp privātpersonu tiesību ierobežošanu un vides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jāakcentē, ka anotācijā ir norādīts, ka ņemot vērā vairākus faktorus (tai skaitā īpašumtiesības), būtiskākie ierobežojumi noteikti valsts zemēs (mežos), lai mazinātu ietekmi uz privātpersonām. Ainavu aizsardzības zona, kurā lielākoties nav ierobežojumu vai tie ir nelieli, tiek piemērota 92% no visām ainavu apvidū ietvertajām fizisko personu zemēm, 91% no juridisko personu zemēm.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jau caur funkcionālā zonējuma noteikšanu primāri tiek izvērtēts aprobežojuma satversmīgums.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"Aizsargājamo ainavu apvidus "Koknese-Odziena" individuālie aizsardzības un izmantošanas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- 20.03.2024.)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atkārtoti norāda, ka neatbalsta noteikumu projekta tālāku virzību, ja vienlaikus netiek virzīts  priekšlikums kompensāciju sistēmas par saimnieciskās darbības aprobežojumiem pilnveidošanu (turpmāk - kompensāciju sistēma). Nevienlīdzību un netaisnību saistībā ar jaunu aprobežojumu noteikšanu dabas aizsardzības labā meža īpašnieki uzsvēra šī gada 5.marta akcijā pie Ministru kabineta. Meža īpašnieki un meža nozarē strādājoši  ministru prezidentei lūdza nekavējoties pieņemt izmaiņas normatīvajā regulējumā par kompensācijām saimnieciskās darbības ierobežojumiem aizsargājamās teritorijās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Tādēļ lūdzam precizēt protokollēmumu ar jaunu punktu, kas noteiktu, ka noteikumi stājas spēkā vienlaikus ar izmaiņām kompensāciju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Lielākā daļa privāto zemju (92%) paredzēts iekļaut ainavu aizsardzības zonā. Dabas lieguma zona ar galvenās cirtes aizliegumu galvenokārt piemērota valsts zemēs (97%), savukārt privātīpašumu mežiem, kas sākotnēji nelielā apjomā bija paredzēti dabas lieguma zonā, pēc funkcionālā zonējuma pārskatīšanas lielākoties ietverti dabas parka vai ainavu aizsardzības zonā, kurā iespējama mežsaimnieciskā darbība.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jāņem vērā, ka no ainavu apvidū ietvertajām mežaudzēm trešā daļa jau ir jaunaudzes (melnalkšņu audzēm - puse), savukārt lauksaimniecībā izmantojamās zemēs ierobežojumi ir noteikti tikai konstatētajiem Eiropas nozīmes zālāju biotopiem (153 ha platībā, kas ir 1,4% no privātīpašumā esošajām zemēm).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izstrādāts, lai atbilstoši Biotopu direktīvas 6. panta prasībām vienlaikus ar īpaši aizsargājamās dabas teritorijas (Natura 2000 teritorijas) izveidošanu noteiktu </w:t>
            </w:r>
            <w:r w:rsidR="00000000" w:rsidRPr="00000000" w:rsidDel="00000000">
              <w:rPr>
                <w:u w:val="single"/>
                <w:rtl w:val="0"/>
              </w:rPr>
              <w:t xml:space="preserve">atbilstīgus normatīvus pasākumus</w:t>
            </w:r>
            <w:r w:rsidR="00000000" w:rsidRPr="00000000" w:rsidDel="00000000">
              <w:rPr>
                <w:rtl w:val="0"/>
              </w:rPr>
              <w:t xml:space="preserve">, kuri atbilst šajās teritorijās sastopamo Biotopu direktīvas I pielikuma dabisko dzīvotņu veidu un II pielikuma </w:t>
            </w:r>
            <w:r w:rsidR="00000000" w:rsidRPr="00000000" w:rsidDel="00000000">
              <w:rPr>
                <w:u w:val="single"/>
                <w:rtl w:val="0"/>
              </w:rPr>
              <w:t xml:space="preserve">sugu ekoloģiskajām prasībām</w:t>
            </w:r>
            <w:r w:rsidR="00000000" w:rsidRPr="00000000" w:rsidDel="00000000">
              <w:rPr>
                <w:rtl w:val="0"/>
              </w:rPr>
              <w:t xml:space="preserve">. Tā kā Ministru kabineta 2010. gada 16. marta noteikumu Nr. 264 "Īpaši aizsargājamo dabas teritoriju vispārējie aizsardzības un izmantošanas noteikumi" 7. nodaļas "Aizsargājamo ainavu apvidi" vispārējie nosacījumi nenodrošina platausim vitāli nepieciešamo ekosistēmas elementu saglabāšanu un aizsardzību, vienlaikus ar ainavu apvidus izveidošanu nepieciešams noteikt ainavu apvidus individuālos aizsardzības un izmantošanas noteikumus atbilstoši Eiropas platauša sugas aizsardzības plānā norādītajai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"Aizsargājamo ainavu apvidus "Koknese-Odziena" individuālie aizsardzības un izmantošanas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"Aizsargājamo ainavu apvidus "Koknese-Odziena" individuālie aizsardzības un izmantošanas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neatbalsta noteikumu projekta tālākai virzībai, ja netiek paredzēts virzīt priekšlikumus kompensāciju sistēmas par saimnieciskās darbības aprobežojumiem, tādēļ lūdzam precizēt protokollēmumu ar jaunu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ministrijai sadarbībā ar Zemkopības ministriju un Klimata un enerģētikas ministriju sagatavot un Līdz 2024.gada 30jūnijam iesniegt izskatīšanai Ministru kabinetā priekšlikumus par efektīvāko piedāvājumu kompensāciju nodrošināšanai par saimnieciskās darbības ierobežojumiem īpaši aizsargājamās dabas teritorijās.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2023. gada 21. novembra sēdes protokollēmuma (prot. Nr. 58 63. §) "Noteikumu projekts "Noteikumi par dabas liegumiem"" (TA-23-TA-621) 3.punkts jau noteic līdz 2024.gada 31.maijam iesniegt izskatīšanai Ministru kabinetā priekšlikumus par efektīvāko piedāvājumu kompensāciju nodrošināšanai par saimnieciskās darbības ierobežojumiem īpaši aizsargājamās dabas teritorijās.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nav nepieciešams atkārtots uzdevums, jo minētā protokollēmuma punkts attiecas ne tikai uz dabas liegumiem, bet uz visām īpaši aizsargājamām dabas teritorijām.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minēto protokollēmuma uzdevumu ir papildināta anotācija (1.6.apakšpunktā).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"Aizsargājamo ainavu apvidus "Koknese-Odziena" individuālie aizsardzības un izmantošanas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Aizsargājamo ainavu apvidus "Koknese-Odziena" individuālie aizsardzības un izmantošanas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- 09.02.2024.)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plānotā aizsargājamā ainavu apvidus "Koknese - Odziena"  teritorija ir augstu meža ugunsbīstamību un Valsts meža dienests iebilst par paredzēto meža ugunsdrošības regulējumu. Aicinām organizēt starpministriju sanāksmi, lai vienotos par iespējamu kompromisu - noteikumu projektā iekļaut informāciju (karti), kurā būtu iezīmēt uzturamā meža ugunsdzēsības infrastruktūru. Līdzīgs šī jautājuma risinājums tika panākts dabas parka "Bernāti" individuālajos aizsardzības un izmantošanas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TAP tehniskās iespējas, Valsts meža dienesta sagatavoto meža ugunsdzēsības infrastruktūras karti nosūtīsim elektroniski projekta autoriem.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Aizsargājamo ainavu apvidus "Koknese-Odziena" individuālie aizsardzības un izmantošanas noteikumi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Dabas aizsardzības pārvalde nosaka ierobežotas pieejamības statusu informācijai par ainavu apvidū esošo īpaši aizsargājamo sugu dzīvotņu un īpaši aizsargājamo biotopu atrašanās vietu, ja tās atklāšana var kaitēt dabas aizsardzībai. Šādu informāciju izplata tikai ar Dabas aizsardzības pārvaldes rakstisku atļauju.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w:t>
            </w:r>
            <w:r w:rsidR="00000000" w:rsidRPr="00000000" w:rsidDel="00000000">
              <w:rPr>
                <w:u w:val="single"/>
                <w:rtl w:val="0"/>
              </w:rPr>
              <w:t xml:space="preserve">ar rakstveida dokumentu saprot gan dokumentu papīra formātā, kas ir pašrocīgi parakstīts, gan elektronisko dokumentu, kas ir parakstīts ar drošu elektronisko parakstu</w:t>
            </w:r>
            <w:r w:rsidR="00000000" w:rsidRPr="00000000" w:rsidDel="00000000">
              <w:rPr>
                <w:rtl w:val="0"/>
              </w:rPr>
              <w:t xml:space="preserve">. Elektronisko dokumentu likuma 3. panta otrā daļa noteic, ka elektroniskais dokuments uzskatāms par pašrocīgi parakstītu, ja tam ir drošs elektroniskais paraksts.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visā projektā (proti, projekta 6. punktā, 8.1., 10.5., 10.8., 10.12., 14.7. un 16.10. apakšpunktā) aizstāt vārdu "rakstiski" (attiecīgā locījumā) ar vārdu "rakstveidā"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Dabas aizsardzības pārvaldes rakstiska atļauja nav nepieciešama darbībām ainavu apvidū: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w:t>
            </w:r>
            <w:r w:rsidR="00000000" w:rsidRPr="00000000" w:rsidDel="00000000">
              <w:rPr>
                <w:u w:val="single"/>
                <w:rtl w:val="0"/>
              </w:rPr>
              <w:t xml:space="preserve">ar rakstveida dokumentu saprot gan dokumentu papīra formātā, kas ir pašrocīgi parakstīts, gan elektronisko dokumentu, kas ir parakstīts ar drošu elektronisko parakstu</w:t>
            </w:r>
            <w:r w:rsidR="00000000" w:rsidRPr="00000000" w:rsidDel="00000000">
              <w:rPr>
                <w:rtl w:val="0"/>
              </w:rPr>
              <w:t xml:space="preserve">. Elektronisko dokumentu likuma 3. panta otrā daļa noteic, ka </w:t>
            </w:r>
            <w:r w:rsidR="00000000" w:rsidRPr="00000000" w:rsidDel="00000000">
              <w:rPr>
                <w:u w:val="single"/>
                <w:rtl w:val="0"/>
              </w:rPr>
              <w:t xml:space="preserve">elektroniskais dokuments uzskatāms par pašrocīgi parakstītu, ja tam ir drošs elektroniskais paraksts</w:t>
            </w:r>
            <w:r w:rsidR="00000000" w:rsidRPr="00000000" w:rsidDel="00000000">
              <w:rPr>
                <w:rtl w:val="0"/>
              </w:rPr>
              <w:t xml:space="preserve">. Ievērojot minēto, lūdzam visā projektā (piemēram, projekta 8. punkta ievaddaļā, 8.1., 10.5., 10.8. un 10.12. apakšpunktā) aizstāt vārdu "rakstiski" (attiecīgā locījumā) ar vārdu "rakstveidā" (attiecīgā locījumā).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terminoloģija.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Dabas aizsardzības pārvaldes rakstveida atļauja nav nepieciešama darbībām ainavu apvidū:</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kurām saskaņā ar normatīvajiem aktiem par ietekmes uz vidi novērtējumu Valsts vides dienests izsniedz tehniskos noteikumus vai veic ietekmes uz vidi sākotnējo izvērtējumu. Ja minēto darbību rezultātā dēļ tiek mainīta zemes lietošanas kategorija, Dabas aizsardzības pārvaldes rakstiska atļauja zemes lietošanas kategorijas maiņai nav nepieciešama. Vērtējot šādas darbības, Valsts vides dienests vienlaikus izvērtē zemes lietošanas kategorijas maiņas iespējamību. Dabas aizsardzības pārvalde šajos gadījumos sniedz Valsts vides dienestam atzinumu;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3.3. apakšpunkts noteic, ka </w:t>
            </w:r>
            <w:r w:rsidR="00000000" w:rsidRPr="00000000" w:rsidDel="00000000">
              <w:rPr>
                <w:u w:val="single"/>
                <w:rtl w:val="0"/>
              </w:rPr>
              <w:t xml:space="preserve">normatīvā akta projektā neietver normas, kas dublē pašā normatīvā akta projektā ietverto normatīvo regulējumu</w:t>
            </w:r>
            <w:r w:rsidR="00000000" w:rsidRPr="00000000" w:rsidDel="00000000">
              <w:rPr>
                <w:rtl w:val="0"/>
              </w:rPr>
              <w:t xml:space="preserve">. Ievērojot minēto, lūdzam precizēt projektā paredzēto noteikumu 8.1. apakšpunkta otro teikumu, jo no projekta 8. punkta ievaddaļā ietvertā regulējumu jau izriet, ka attiecīgajā gadījumā nav nepieciešama Dabas aizsardzības pārvaldes rakstveida atļauja.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8.1.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kurām saskaņā ar normatīvajiem aktiem par ietekmes uz vidi novērtējumu Valsts vides dienests izsniedz tehniskos noteikumus vai veic ietekmes uz vidi sākotnējo izvērtējumu. Ja minēto darbību rezultātā tiek mainīta zemes lietošanas kategorija, Valsts vides dienests, vērtējot šādas darbības, vienlaikus izvērtē zemes lietošanas kategorijas maiņas iespējamību. Dabas aizsardzības pārvalde šajos gadījumos sniedz Valsts vides dienestam atzinumu;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uz valsts nozīmes satiksmes infrastruktūras objektiem, kuru būvniecībai vai pārbūvei atbilstoši normatīvajos aktos noteiktajai kārtībai par ietekmes uz vidi novērtējumu Vides pārraudzības valsts birojs ir izdevis atzinumu par ietekmes novērtējuma ziņojumu un tajā iekļauti nosacījumi, ar kādiem paredzētā darbība var būt īstenojama (ievērojot Dabas aizsardzības pārvaldes norādītos pasākumus īpaši aizsargājamo sugu un īpaši aizsargājamo biotopu aizsardzībai);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perspektīvā autoceļa E22 posma Koknese - Pļaviņas trase šķērso aizsargājamo ainavu apvidu un jauna autoceļa izbūve var būtiski ietekmēt apkārtējo teritoriju, lūdzam paredzēt, ka jau sākotnēji tiek izvērtēta iespējamo aprobežojumu ietekme autoceļa aizsargjoslas platumā.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9.2. uz valsts nozīmes satiksmes infrastruktūras objektiem to attīstības (TIN) teritorijās aizsargjoslas platumā, kuru būvniecībai vai pārbūvei atbilstoši normatīvajos aktos noteiktajai kārtībai par ietekmes uz vidi novērtējumu Vides pārraudzības valsts birojs ir izdevis atzinumu par ietekmes novērtējuma ziņojumu un tajā iekļauti nosacījumi, ar kādiem paredzētā darbība var būt īstenojama (ievērojot Dabas aizsardzības pārvaldes norādītos pasākumus īpaši aizsargājamo sugu un īpaši aizsargājamo biotopu aizsardzībai);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uz valsts nozīmes satiksmes infrastruktūras objektiem to attīstības (TIN) teritorijās aizsargjoslas platumā, kuru būvniecībai vai pārbūvei atbilstoši normatīvajos aktos noteiktajai kārtībai par ietekmes uz vidi novērtējumu Vides pārraudzības valsts birojs ir izdevis atzinumu par ietekmes novērtējuma ziņojumu un tajā iekļauti nosacījumi, ar kādiem paredzētā darbība var būt īstenojama (ievērojot Dabas aizsardzības pārvaldes norādītos pasākumus īpaši aizsargājamo sugu un īpaši aizsargājamo biotopu aizsardzībai);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10.3. izmantot citzemju sugas meža atjaunošanā un ieaudzēšanā;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punktam pievienot atsauci uz 3.pielikumu, lai ir vienota izpratne par atjaunošanā, ieaudzēšanā izmantojamām citzemju sugām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10.3.apakšpunkts ar atsauci uz 3. pielikumu.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9.3. izmantot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minētās citzemju sugas meža atjaunošanā un ieaudzēšanā;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 bojāt vai iznīcināt (arī uzarot, kultivējot vai ieaudzējot mežu) Eiropas Savienības nozīmes zālāju biotopus, kas reģistrēti </w:t>
            </w:r>
            <w:r w:rsidR="00000000" w:rsidRPr="00000000" w:rsidDel="00000000">
              <w:rPr>
                <w:rtl w:val="0"/>
              </w:rPr>
              <w:t xml:space="preserve">dabas datu pārvaldības sistēmā</w:t>
            </w:r>
            <w:r w:rsidR="00000000" w:rsidRPr="00000000" w:rsidDel="00000000">
              <w:rPr>
                <w:rtl w:val="0"/>
              </w:rPr>
              <w:t xml:space="preserve"> un par kuriem informēts zemes īpašnieks, tiesiskais valdītājs vai lietotājs, meža pļavas un lauces, izņemot Meža valsts reģistrā reģistrētās medījamo dzīvnieku piebarošanas lauces, kā arī gadījumu, ja tas nepieciešams īpaši aizsargājamo sugu dzīvotņu un īpaši aizsargājamo biotopu aizsardzībai, saglabāšanai vai atjaunošanai. Aizliegums neattiecas uz darbībām valsts autoceļu un dzelzceļu nodalījuma joslās;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projektā tiek lietots termins "ceļš", lūdzam precizēt projekta 10.11. apakšpunktā minēto terminu "autoceļš".</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9.11. bojāt vai iznīcināt (arī uzarot, kultivējot vai ieaudzējot mežu) Eiropas Savienības nozīmes zālāju biotopus, kas reģistrēti </w:t>
            </w:r>
            <w:r w:rsidR="00000000" w:rsidRPr="00000000" w:rsidDel="00000000">
              <w:rPr>
                <w:rtl w:val="0"/>
              </w:rPr>
              <w:t xml:space="preserve">dabas datu pārvaldības sistēmā</w:t>
            </w:r>
            <w:r w:rsidR="00000000" w:rsidRPr="00000000" w:rsidDel="00000000">
              <w:rPr>
                <w:rtl w:val="0"/>
              </w:rPr>
              <w:t xml:space="preserve"> un par kuriem informēts zemes īpašnieks, tiesiskais valdītājs vai lietotājs, meža pļavas un lauces, izņemot Meža valsts reģistrā reģistrētās medījamo dzīvnieku piebarošanas lauces, kā arī gadījumu, ja tas nepieciešams īpaši aizsargājamo sugu dzīvotņu un īpaši aizsargājamo biotopu aizsardzībai, saglabāšanai vai atjaunošanai. Aizliegums neattiecas uz darbībām valsts ceļu un dzelzceļu nodalījuma joslās;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 bojāt vai iznīcināt (arī uzarot, kultivējot vai ieaudzējot mežu) Eiropas Savienības nozīmes zālāju biotopus, kas reģistrēti </w:t>
            </w:r>
            <w:r w:rsidR="00000000" w:rsidRPr="00000000" w:rsidDel="00000000">
              <w:rPr>
                <w:rtl w:val="0"/>
              </w:rPr>
              <w:t xml:space="preserve">dabas datu pārvaldības sistēmā</w:t>
            </w:r>
            <w:r w:rsidR="00000000" w:rsidRPr="00000000" w:rsidDel="00000000">
              <w:rPr>
                <w:rtl w:val="0"/>
              </w:rPr>
              <w:t xml:space="preserve"> un par kuriem informēts zemes īpašnieks vai tiesiskais valdītājs, meža pļavas un lauces, izņemot izņemot Meža valsts reģistrā reģistrētās medījamo dzīvnieku piebarošanas lauces, kā arī gadījumu, ja tas nepieciešams īpaši aizsargājamo sugu dzīvotņu un īpaši aizsargājamo biotopu aizsardzībai, saglabāšanai vai atjaunošanai. Aizliegums neattiecas uz darbībām valsts autoceļu un dzelzceļu nodalījuma joslās;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divreiz pēc kārtas atkārtojas vārds - izņemot izņemot Meža valsts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vienu vārdu izņemot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10.11.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9.11. bojāt vai iznīcināt (arī uzarot, kultivējot vai ieaudzējot mežu) Eiropas Savienības nozīmes zālāju biotopus, kas reģistrēti </w:t>
            </w:r>
            <w:r w:rsidR="00000000" w:rsidRPr="00000000" w:rsidDel="00000000">
              <w:rPr>
                <w:rtl w:val="0"/>
              </w:rPr>
              <w:t xml:space="preserve">dabas datu pārvaldības sistēmā</w:t>
            </w:r>
            <w:r w:rsidR="00000000" w:rsidRPr="00000000" w:rsidDel="00000000">
              <w:rPr>
                <w:rtl w:val="0"/>
              </w:rPr>
              <w:t xml:space="preserve"> un par kuriem informēts zemes īpašnieks, tiesiskais valdītājs vai lietotājs, meža pļavas un lauces, izņemot Meža valsts reģistrā reģistrētās medījamo dzīvnieku piebarošanas lauces, kā arī gadījumu, ja tas nepieciešams īpaši aizsargājamo sugu dzīvotņu un īpaši aizsargājamo biotopu aizsardzībai, saglabāšanai vai atjaunošanai. Aizliegums neattiecas uz darbībām valsts ceļu un dzelzceļu nodalījuma joslās;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 bojāt vai iznīcināt (arī uzarot, kultivējot vai ieaudzējot mežu) Eiropas Savienības nozīmes zālāju biotopus, kas reģistrēti </w:t>
            </w:r>
            <w:r w:rsidR="00000000" w:rsidRPr="00000000" w:rsidDel="00000000">
              <w:rPr>
                <w:rtl w:val="0"/>
              </w:rPr>
              <w:t xml:space="preserve">dabas datu pārvaldības sistēmā</w:t>
            </w:r>
            <w:r w:rsidR="00000000" w:rsidRPr="00000000" w:rsidDel="00000000">
              <w:rPr>
                <w:rtl w:val="0"/>
              </w:rPr>
              <w:t xml:space="preserve"> un par kuriem informēts zemes īpašnieks vai tiesiskais valdītājs, meža pļavas un lauces, izņemot izņemot Meža valsts reģistrā reģistrētās medījamo dzīvnieku piebarošanas lauces, kā arī gadījumu, ja tas nepieciešams īpaši aizsargājamo sugu dzīvotņu un īpaši aizsargājamo biotopu aizsardzībai, saglabāšanai vai atjaunošanai. Aizliegums neattiecas uz darbībām valsts autoceļu un dzelzceļu nodalījuma joslās;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Šeit un citās normās, kurās minēti zemes īpašumu īpašnieki un tiesiskie valdītāji, uz kuriem attiektos informēšana, uzskaitījums jāpapildina arī ar statusu "lietotāji", informācija par tādiem ir pieejama Nekustamā īpašuma valsts kadastra informācijas sistēmā. Piemēram, atbilstoši projekta 1.pielikumam dabas lieguma zonā esošās zemes vienības ar kadastra apz. 32580040020 (nekustamais īpašums "Gnēviņmeži") lietotājs ir Akciju sabiedrība "Latvijas valsts meži".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 bojāt vai iznīcināt (arī uzarot, kultivējot vai ieaudzējot mežu) Eiropas Savienības nozīmes zālāju biotopus, kas reģistrēti dabas datu pārvaldības sistēmā un par kuriem informēts zemes īpašnieks vai tiesiskais valdītājs, vai lietotājs, meža pļavas un lauces, izņemot izņemot Meža valsts reģistrā reģistrētās medījamo dzīvnieku piebarošanas lauces, kā arī gadījumu, ja tas nepieciešams īpaši aizsargājamo sugu dzīvotņu un īpaši aizsargājamo biotopu aizsardzībai, saglabāšanai vai atjaunošanai. Aizliegums neattiecas uz darbībām valsts autoceļu un dzelzceļu nodalījuma joslās;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10.11.apakšpunkts.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9.11. bojāt vai iznīcināt (arī uzarot, kultivējot vai ieaudzējot mežu) Eiropas Savienības nozīmes zālāju biotopus, kas reģistrēti </w:t>
            </w:r>
            <w:r w:rsidR="00000000" w:rsidRPr="00000000" w:rsidDel="00000000">
              <w:rPr>
                <w:rtl w:val="0"/>
              </w:rPr>
              <w:t xml:space="preserve">dabas datu pārvaldības sistēmā</w:t>
            </w:r>
            <w:r w:rsidR="00000000" w:rsidRPr="00000000" w:rsidDel="00000000">
              <w:rPr>
                <w:rtl w:val="0"/>
              </w:rPr>
              <w:t xml:space="preserve"> un par kuriem informēts zemes īpašnieks, tiesiskais valdītājs vai lietotājs, meža pļavas un lauces, izņemot Meža valsts reģistrā reģistrētās medījamo dzīvnieku piebarošanas lauces, kā arī gadījumu, ja tas nepieciešams īpaši aizsargājamo sugu dzīvotņu un īpaši aizsargājamo biotopu aizsardzībai, saglabāšanai vai atjaunošanai. Aizliegums neattiecas uz darbībām valsts ceļu un dzelzceļu nodalījuma joslās;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10.13. zemes īpašniekiem vai tiesiskajiem valdītājiem savā īpašumā vai valdījumā esošajā nekustamajā īpašumā ierobežot ainavu apvidus apmeklētāju pārvietošanos pa ceļiem un takām publisko dabas tūrisma, izziņas un atpūtas infrastruktūras objektu apskatei;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Normu attiecināt ne tikai uz īpašniekiem un tiesiskajiem valdītājiem, bet arī personām ar statusu "lietotāji".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10.13. zemes īpašniekiem vai tiesiskajiem valdītājiem, vai lietotājiem savā īpašumā, valdījumā vai lietojumā esošajā nekustamajā īpašumā ierobežot ainavu apvidus apmeklētāju pārvietošanos pa ceļiem un takām publisko dabas tūrisma, izziņas un atpūtas infrastruktūras objektu apskatei;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10.13.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9.13. zemes īpašniekiem, tiesiskajiem valdītājiem vai lietotājiem savā īpašumā, valdījumā  vai lietojumā esošajā nekustamajā īpašumā ierobežot ainavu apvidus apmeklētāju pārvietošanos pa ceļiem un takām publisko dabas tūrisma, izziņas un atpūtas infrastruktūras objektu apskatei;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Ainavu apvidū noteiktie mežsaimnieciskās darbības aizliegumi neattiecas uz īpaši aizsargājamo sugu dzīvotņu un īpaši aizsargājamo biotopu atjaunošanas pasākumiem, kuru veikšanai ir saņemta Dabas aizsardzības pārvaldes rakstveida atļauja. Ja saskaņā ar normatīvajiem aktiem par koku ciršanu Valsts meža dienests izsniedz apliecinājumu, šādos gadījumos Valsts meža dienests apliecinājumu izsniedz pēc Dabas aizsardzības pārvaldes pozitīva rakstveida atzinuma saņemšanas. Dabas aizsardzības pārvalde atzinumu sniedz 10 darbdienu laikā pēc Valsts meža dienesta pieprasījuma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nepieciešamību precizēt noteikumu projekta 12.punktu, jo saskaņā ar MK noteikumu "Noteikumi par īpaši aizsargājamo biotopu un īpaši aizsargājamo sugu dzīvotņu atjaunošanu mežā" 11.1. punktu Dabas aizsardzības pārvalde (DAP) ir kompetentā iestāde atļaujas saņemšanai plānotajai darbībai, ar kuru tiks atmežota teritorija, un meža kontrolētas dedzināšanas atļaujas saņemšanai, ja plānotā darbība paredzēta īpaši aizsargājamā dabas teritorijā vai mikroliegumā. Tātad atmežošanas gadījumā DAP atļauja ir neizbēgama un nepieciešams arī Valsts meža dienesta izsniegts apliecinājums koku ciršanai. Attiecīgi veidojas nesaiste ar Noteikumu projekta 12.punktā noteikto par DAP atļauju un pozitīvu atzinumu.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11. punkts attiecas ne tikai uz gadījumiem, kad platība tiek atmežota (par ko ir norādīts priekšlikumā), bet arī  koku ciršanu, saglabājot meža statusu (piemēram, citā cirtē), kur nav nepieciešamas abu iestāžu rakstveida atļaujas.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Ainavu apvidū noteiktie mežsaimnieciskās darbības aizliegumi neattiecas uz īpaši aizsargājamo sugu dzīvotņu un īpaši aizsargājamo biotopu atjaunošanas pasākumiem, kuru veikšanai ir saņemta Dabas aizsardzības pārvaldes rakstveida atļauja. Ja saskaņā ar normatīvajiem aktiem par koku ciršanu Valsts meža dienests izsniedz apliecinājumu, šādos gadījumos Valsts meža dienests apliecinājumu izsniedz pēc Dabas aizsardzības pārvaldes pozitīva rakstveida atzinuma saņemšanas. Dabas aizsardzības pārvalde atzinumu sniedz 10 darbdienu laikā pēc Valsts meža dienesta pieprasījuma saņemšanas.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ugunsdrošības pasākumu veikšana (mineralizēto joslu un ugundrošības brauktuvju uzturēšana);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- 19.01.2024.)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kabineta 2016.gada 19.aprīļa noteikumos Nr.238 "Ugunsdrošības noteikumi" (turpmāk - Noteikumi) lietoto terminoloģiju, proti, ka Noteikumos netiek lietots tāds termins kā "ugunsdrošības brauktuves", un attiecīgās normas mērķi, precizēt projekta 14.6.apakšpunktu, svītrojot iekavās vārdu "ugunsdrošības" pirms vārdiem "brauktuvju uzturēšana".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mežā ne visas esošās dabiskās brauktuves ir izmantojamas un piemērotas ugunsdrošības tehnikai, tad to uzturēšana regulējumā režīma zonā atbilstoši Ministru kabineta 2016. gada 19. aprīļa noteikumiem Nr.238 "Ugunsdrošības noteikumi" ir attiecināma uz tām, kas ir identificētas kā ugunsdrošības nodrošināšanai būtiskās dabiskās brauktuves.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 ugunsdrošības pasākumu veikšana (mineralizēto joslu un ugunsdzēsības un glābšanas tehnikas brauktuvju uzturēšana);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14.6. ugunsdrošības pasākumu veikšana (mineralizēto joslu un ugundrošības brauktuvju uzturēšana);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- 01.11.2023.)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kabineta 2016.gada 19.aprīļa noteikumos Nr.238 "Ugunsdrošības noteikumi" lietoto terminoloģiju un attiecīgās normas mērķi, precizēt projekta 14.6.apakšpunktu, svītrojot iekavās vārdu "ugundrošības" pirms vārdiem "brauktuvju uzturēšana".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mežā ne visas esošās dabiskās brauktuves ir izmantojamas un piemērotas ugunsdrošības tehnikai, tad to uzturēšana regulējumā režīma zonā atbilstoši Ministru kabineta 2016. gada 19. aprīļa noteikumiem Nr.238 "Ugunsdrošības noteikumi" ir attiecināma uz tām, kas ir identificētas kā ugunsdrošības nodrošināšanai būtiskās dabiskās brauktuves.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 ugunsdrošības pasākumu veikšana (mineralizēto joslu un ugunsdzēsības un glābšanas tehnikas brauktuvju uzturēšana);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celt teltis un kurināt ugunskurus ārpus zemes īpašnieka, tiesiskā valdītāja vai apsaimniekotāja speciāli ierīkotām vietām, kuras nodrošina uguns tālāku neizplatīšanos, izņemot ugunskurus pagalmos un ugunskurus ciršanas atlieku sadedzināšanai atbilstoši meža apsaimniekošanu regulējošiem normatīvajiem aktiem un ugunsdrošību un ugunsdzēsību regulējošiem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Attiecināt normu ne tikai uz īpašniekiem, tiesiskajiem valdītājiem, bet arī uz personām ar statusu "lietotāji".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celt teltis un kurināt ugunskurus ārpus zemes īpašnieka, tiesiskā valdītāja, lietotāja vai apsaimniekotāja speciāli ierīkotām vietām, kuras nodrošina uguns tālāku neizplatīšanos, izņemot ugunskurus pagalmos un ugunskurus ciršanas atlieku sadedzināšanai atbilstoši meža apsaimniekošanu regulējošiem normatīvajiem aktiem un ugunsdrošību un ugunsdzēsību regulējošiem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16.1.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celt teltis un kurināt ugunskurus ārpus zemes īpašnieka, tiesiskā valdītāja, lietotāja vai apsaimniekotāja speciāli ierīkotām vietām, kuras nodrošina uguns tālāku neizplatīšanos, izņemot ugunskurus pagalmos un ugunskurus ciršanas atlieku sadedzināšanai atbilstoši meža apsaimniekošanu regulējošiem normatīvajiem aktiem un ugunsdrošību un ugunsdzēsību regulējošiem normatīvajiem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16.7.1. meža ugunsdrošības pasākumus (tai skaitā mineralizēto joslu un ugundrošības brauktuvju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- 01.11.2023.)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kabineta 2016.gada 19.aprīļa noteikumos Nr.238 "Ugunsdrošības noteikumi" lietoto terminoloģiju un attiecīgās normas mērķi, precizēt projekta 16.7.1.apakšpunktu, svītrojot iekavās vārdu "ugundrošības" pirms vārdiem "brauktuvju uzturēšanu".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15.7.1. meža ugunsdrošības pasākumus (tai skaitā mineralizēto joslu un brauktuvju uzturēšanu);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16.7.7. veikt cirti pēc Valsts meža dienesta sanitārā atzinuma un kokmateriālu pievešanu;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cirtes veidu - "veikt sanitāro cirti pēc Valsts meža dienesta sanitārā atzinuma"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16.7.7. veikt sanitāro cirti pēc Valsts meža dienesta sanitārā atzinuma un kokmateriālu pievešanu;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15.7.7. veikt sanitāro cirti pēc Valsts meža dienesta sanitārā atzinuma un kokmateriālu pievešanu;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16.12.1. organizēt brīvā dabā publiskus pasākumus, kā arī sporta, piedzīvojumu un citu veidu sacensības, kurās piedalās vairāk nekā 50 cilvēku, izņemot publiskus pasākumus un sacensības, kas tiek organizētas šim nolūkam paredzētās un speciāli ierīkotās vietās;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Publisku izklaides un svētku pasākumu drošības likuma 1. panta 1. punkts noteic, ka </w:t>
            </w:r>
            <w:r w:rsidR="00000000" w:rsidRPr="00000000" w:rsidDel="00000000">
              <w:rPr>
                <w:u w:val="single"/>
                <w:rtl w:val="0"/>
              </w:rPr>
              <w:t xml:space="preserve">publisks pasākums ir fiziskās vai juridiskās personas plānots un organizēts sabiedrībai pieejams svētku, piemiņas, izklaides, sporta vai atpūtas pasākums publiskā vietā neatkarīgi no īpašuma piederības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projekta 16.12.1. un 20.4.3. apakšpunktā minētos vārdus "kā arī sporta, piedzīvojumu un citu veidu sacensības" un vārdus "un sacensības", jo tie ir lieki.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precizēt arī anotācijā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punkti precizēti, sacensības ietverot kā "tai skaitā".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15.12.1. organizēt brīvā dabā publiskus pasākumus, tai skaitā sporta, piedzīvojumu un citu veidu sacensības, kurās piedalās vairāk nekā 50 cilvēku, izņemot publiskus pasākumus, tai skaitā sacensības, kas tiek organizētas šim nolūkam paredzētās un speciāli ierīkotās vietās;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Kopšanas cirtē uz cirsmas hektāru saglabā vismaz 15 dzīvotspējīgus vecākos un lielāko izmēru kokus (ekoloģiskos kokus), vispirms saglabājot resnākos (koku caurmērs lielāks par valdošās koku sugas koku vidējo caurmēru) kokus, kā arī kokus ar lieliem un resniem zariem, un kokus ar deguma rētām. Kokus pēc iespējas saglabā grupās.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punktu formulēt līdzīgā redakcijā kā 21. un 31.punktā, neminot iekavas par vidējo caurmēru. Kā arī minētajos punktos pēc iespējas vienādot formulējumus, piemēram, "dzīvotspējīgus" vai "augtspējīgus".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17.punkts.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Kopšanas cirtē uz cirsmas hektāru saglabā vismaz 15 augtspējīgus vecākos un lielāko izmēru kokus (ekoloģiskos kokus), vispirms saglabājot resnākos kokus, kā arī kokus ar lieliem un resniem zariem, un kokus ar deguma rētām. Kokus pēc iespējas saglabā grupās.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celt teltis un kurināt ugunskurus ārpus zemes īpašnieka, tiesiskā valdītāja vai apsaimniekotāja speciāli ierīkotām vietām, kuras nodrošina uguns tālāku neizplatīšanos, izņemot ugunskurus pagalmos un ugunskurus ciršanas atlieku sadedzināšanai atbilstoši meža apsaimniekošanu regulējošiem normatīvajiem aktiem un ugunsdrošību un ugunsdzēsību regulējošiem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Punktu attiecināt ne tikai uz īpašniekiem, tiesiskajiem valdītājiem, bet arī personām ar statusu "lietotājs".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 celt teltis un kurināt ugunskurus ārpus zemes īpašnieka, tiesiskā valdītāja, lietotāja vai apsaimniekotāja speciāli ierīkotām vietām, kuras nodrošina uguns tālāku neizplatīšanos, izņemot ugunskurus pagalmos un ugunskurus ciršanas atlieku sadedzināšanai atbilstoši meža apsaimniekošanu regulējošiem normatīvajiem aktiem un ugunsdrošību un ugunsdzēsību regulējošiem normatīvajiem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20.1.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celt teltis un kurināt ugunskurus ārpus zemes īpašnieka, tiesiskā valdītāja, lietotāja vai apsaimniekotāja speciāli ierīkotām vietām, kuras nodrošina uguns tālāku neizplatīšanos, izņemot ugunskurus pagalmos un ugunskurus ciršanas atlieku sadedzināšanai atbilstoši meža apsaimniekošanu regulējošiem normatīvajiem aktiem un ugunsdrošību un ugunsdzēsību regulējošiem normatīvajiem aktiem;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 cirst kokus kailcirtē, izņemot mežaudzēs, kurās priedes veido 80 procentu vai mazāk no mežaudzes šķērslaukuma, kailcirtes platībai nepārsniedzot vienu hektāru un ievērojot šo noteikumu </w:t>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punkta</w:t>
            </w:r>
            <w:r w:rsidR="00000000" w:rsidRPr="00000000" w:rsidDel="00000000">
              <w:rPr>
                <w:rtl w:val="0"/>
              </w:rPr>
              <w:t xml:space="preserve"> nosacījumus;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būtības punkta formulējums pasaka, ka kailcirtē nedrīkst cirst priežu audzes, kur priede sastāda vairāk par 80% no šķērslaukuma, savukārt visās pārējās audzēs, izņemot 10.16.punktā minētās, kailcirte ir atļauta. Vienkāršākai punkta uztverei lūdzam punktu arī šādi pārformulēt, izvairoties no izņēmuma palīgteikuma. Savukārt nosacījumus ciršu izpildei atrunāt atsevišķā teikumā.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19.2.apakšpunkta redakcija precizēta, lai tā būtu skaidrāk saprotama un piemērojama.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19.2. cirst kokus kailcirtē mežaudzēs, kurās priedes veido vairāk kā 80 procentu no mežaudzes šķērslaukuma. Pārējās mežaudzēs maksimālā pieļaujamā kailcirtes platība ir viens hektārs, ievērojot šo noteikumu </w:t>
            </w:r>
            <w:r w:rsidR="00000000" w:rsidRPr="00000000" w:rsidDel="00000000">
              <w:rPr>
                <w:rtl w:val="0"/>
              </w:rPr>
              <w:t xml:space="preserve">24. </w:t>
            </w:r>
            <w:r w:rsidR="00000000" w:rsidRPr="00000000" w:rsidDel="00000000">
              <w:rPr>
                <w:rtl w:val="0"/>
              </w:rPr>
              <w:t xml:space="preserve">punkta</w:t>
            </w:r>
            <w:r w:rsidR="00000000" w:rsidRPr="00000000" w:rsidDel="00000000">
              <w:rPr>
                <w:rtl w:val="0"/>
              </w:rPr>
              <w:t xml:space="preserve"> nosacījumus;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20.3.1. meža ugunsdrošības pasākumus (tai skaitā mineralizēto joslu un ugunsdrošības brauktuvju uzturēšana);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- 01.11.2023.)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kabineta 2016.gada 19.aprīļa noteikumos Nr.238 "Ugunsdrošības noteikumi" lietoto terminoloģiju un attiecīgās normas mērķi, precizēt projekta 20.3.1.apakšpunktu, svītrojot iekavās vārdu "ugundrošības" pirms vārdiem "brauktuvju uzturēšana".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19.3.1. meža ugunsdrošības pasākumus (tai skaitā mineralizēto joslu un brauktuvju uzturēšanu);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20.3.8. veikt cirti pēc Valsts meža dienesta sanitārā atzinuma un kokmateriālu pievešanu;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cirtes veidu - "veikt sanitāro cirti pēc Valsts meža dienesta sanitārā atzinuma"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sanitāro cirti pēc Valsts meža dienesta sanitārā atzinuma un kokmateriālu pievešanu;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19.3.8. veikt sanitāro cirti pēc Valsts meža dienesta sanitārā atzinuma un kokmateriālu pievešanu;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20.3.8. veikt cirti pēc Valsts meža dienesta sanitārā atzinuma un kokmateriālu pievešanu;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cirtes veidu - "veikt sanitāro cirti pēc Valsts meža dienesta sanitārā atzinuma"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sanitāro cirti pēc Valsts meža dienesta sanitārā atzinuma un kokmateriālu pievešanu;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20.3.8.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19.3.8. veikt sanitāro cirti pēc Valsts meža dienesta sanitārā atzinuma un kokmateriālu pievešanu;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Galvenajā un kopšanas cirtē saglabā vismaz 15 dzīvotspējīgus vecākos un lielāko izmēru kokus (ekoloģiskos kokus) uz cirsmas hektāru, vispirms saglabājot resnākās priedes, ozolus, liepas, ošus, gobas, vīksnas, melnalkšņus un kļavas. Ja šādu koku mežaudzē nav, vispirms saglabā apses un bērzus, kā arī kokus ar lieliem un resniem zariem, un kokus ar deguma rētām.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21. un 31.punktā pēc iespējas vienādot formulējumus -  "dzīvotspējīgus" vai "augtspējīgus"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21. 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 Galvenajā un kopšanas cirtē saglabā vismaz 15 augtspējīgus vecākos un lielāko izmēru kokus (ekoloģiskos kokus) uz cirsmas hektāru, vispirms saglabājot resnākās priedes, ozolus, liepas, ošus, gobas, vīksnas, melnalkšņus un kļavas. Ja šādu koku mežaudzē nav, vispirms saglabā apses un bērzus, kā arī kokus ar lieliem un resniem zariem, un kokus ar deguma rētām.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Veicot sanitāro izlases cirti: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22.1.punkts un  22.2.punkts  - redakcijas attiecībā uz priežu un pārējām audzēm ir pilnīgi vienādas. Ja tā tas domāts, iesakām punktus apvienot, pievienojot izņēmumu attiecībā uz egli.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 22.1. un 22.2. apakšpunktu ir atšķirība starp sanitārajā izlases cirtē </w:t>
            </w:r>
            <w:r w:rsidR="00000000" w:rsidRPr="00000000" w:rsidDel="00000000">
              <w:rPr>
                <w:u w:val="single"/>
                <w:rtl w:val="0"/>
              </w:rPr>
              <w:t xml:space="preserve">atstājamo koku</w:t>
            </w:r>
            <w:r w:rsidR="00000000" w:rsidRPr="00000000" w:rsidDel="00000000">
              <w:rPr>
                <w:rtl w:val="0"/>
              </w:rPr>
              <w:t xml:space="preserve"> (stāvoši nokaltuši un kalstoši koki ar pilnīgi vai daļēji saglabājušos mizu) </w:t>
            </w:r>
            <w:r w:rsidR="00000000" w:rsidRPr="00000000" w:rsidDel="00000000">
              <w:rPr>
                <w:u w:val="single"/>
                <w:rtl w:val="0"/>
              </w:rPr>
              <w:t xml:space="preserve">sugu</w:t>
            </w:r>
            <w:r w:rsidR="00000000" w:rsidRPr="00000000" w:rsidDel="00000000">
              <w:rPr>
                <w:rtl w:val="0"/>
              </w:rPr>
              <w:t xml:space="preserve">, tas ir, audzēs, kur valdošā suga ir priede, primāri atstājamas priedes (ņemot vērā, ka plataušu vasaras mītnes konstatētas tieši priedēs), nevis citu koku sugu koki (ja ir priedes mistraudze).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pārējās audzēs, kur priede nav valdošā suga, atstājami jebkuras koku sugas stāvoši nokaltuši vai kalstoši koki (izņemot svaigi invadētās egles).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Veicot sanitāro izlases cirti: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meža ugunsdrošības pasākumus (tai skaitā mineralizēto joslu, ugunsdrošības brauktuvju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- 01.11.2023.)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Ministru kabineta 2016.gada 19.aprīļa noteikumos Nr.238 "Ugunsdrošības noteikumi" lietoto terminoloģiju un attiecīgās normas mērķi, precizēt projekta 30.3.apakšpunktu, svītrojot iekavās vārdu "ugundrošības" pirms vārdiem "brauktuvju uzturēšanu".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meža ugunsdrošības pasākumus (tai skaitā mineralizēto joslu un brauktuvju uzturēšanu);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30.8. veikt cirti pēc Valsts meža dienesta sanitārā atzinuma un kokmateriālu pievešanu.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cirtes veidu - "veikt sanitāro cirti pēc Valsts meža dienesta sanitārā atzinuma"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 sanitāro cirti pēc Valsts meža dienesta sanitārā atzinuma un kokmateriālu pievešanu;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29.8. veikt sanitāro cirti pēc Valsts meža dienesta sanitārā atzinuma un kokmateriālu pievešanu.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Ainavu aizsardzības zonā, cērtot kokus galvenajā vai kopšanas cirtē, uz cirsmas hektāru saglabā vismaz 10 augtspējīgus vecākos un lielāko izmēru kokus (ekoloģiskos kokus), vispirms saglabājot augtspējīgas vecākās un lielāko izmēru priedes, ja to nav - platlapjus, melnalkšņus un apses, kā arī kokus ar lieliem un resniem zariem, dobumainus kokus un kokus ar deguma rētām. Saglabājamos kokus pēc iespējas atstāj grupās, saglabājot tajās arī paaugu vai pamežu. Kailcirtes robežu pēc iespējas nosaka pa dabiskām robežām, izvairoties no taisnām līnijām, lai veidotos pēc iespējas garāka ekotona josla.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21. un 31.punktā pēc iespējas vienādot formulējumus -  "dzīvotspējīgus" vai "augtspējīgus"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noteikumu projekta tekstā precizēts formulējums "augtspējīgus".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Ainavu aizsardzības zonā, cērtot kokus galvenajā vai kopšanas cirtē, uz cirsmas hektāru saglabā vismaz 10 augtspējīgus vecākos un lielāko izmēru kokus (ekoloģiskos kokus), vispirms saglabājot augtspējīgas vecākās un lielāko izmēru priedes, ja to nav - platlapjus, melnalkšņus un apses, kā arī kokus ar lieliem un resniem zariem, dobumainus kokus un kokus ar deguma rētām. Saglabājamos kokus pēc iespējas atstāj grupās, saglabājot tajās arī paaugu vai pamežu. Kailcirtes robežu pēc iespējas nosaka pa dabiskām robežām, izvairoties no taisnām līnijām, lai veidotos pēc iespējas garāka ekotona josla.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Neitrālā zona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VAS "Latvijas dzelzceļš" saimnieciskā darbība netiktu būtiski ierobežota, lūdzam papildināt noteikumu projekta VII. Nodaļu “Neitrālā zona" ar punktu “Neitrālajā zonā nav spēkā šo noteikumu II.nodaļā noteiktie aprobežojumi."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II. nodaļas nosacījumus, nav konstatējamas pretrunas starp II. nodaļas nosacījumiem un VAS "Latvijas dzelzceļš" saimniecisko darbību (neitrālajā zonā).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 Neitrālā zona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Neitrālā zona izveidota, lai nodrošinātu apdzīvotu teritoriju funkcionēšanu un attīstību, kā arī valsts un pašvaldības ceļu, kā arī dzelzceļa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Komersantu autoceļiem ir būtiski pieaugoša loma apdzīvoto vietu funkcionēšanas un attīstības nodrošināšanā. Tie pilda tādas pat funkcijas kā pašvaldības autoceļi.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Neitrālā zona izveidota, lai nodrošinātu apdzīvotu teritoriju funkcionēšanu un attīstību, kā arī valsts, pašvaldības un </w:t>
            </w:r>
            <w:r w:rsidR="00000000" w:rsidRPr="00000000" w:rsidDel="00000000">
              <w:rPr>
                <w:u w:val="single"/>
                <w:rtl w:val="0"/>
              </w:rPr>
              <w:t xml:space="preserve">komersantu</w:t>
            </w:r>
            <w:r w:rsidR="00000000" w:rsidRPr="00000000" w:rsidDel="00000000">
              <w:rPr>
                <w:rtl w:val="0"/>
              </w:rPr>
              <w:t xml:space="preserve">  autoceļu </w:t>
            </w:r>
            <w:r w:rsidR="00000000" w:rsidRPr="00000000" w:rsidDel="00000000">
              <w:rPr>
                <w:u w:val="single"/>
                <w:rtl w:val="0"/>
              </w:rPr>
              <w:t xml:space="preserve">atjaunošanu un</w:t>
            </w:r>
            <w:r w:rsidR="00000000" w:rsidRPr="00000000" w:rsidDel="00000000">
              <w:rPr>
                <w:rtl w:val="0"/>
              </w:rPr>
              <w:t xml:space="preserve">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Komersantu ceļi nav vienlīdzīgi valsts un pašvaldību ceļiem, tā piemēram, meža komersantu ceļu galvenā funkcija ir nodrošināt meža apsaimniekošanu un ugunsapsardzību, līdz ar to arī šādu ceļu uzturēšana tiek plānota atbilstoši meža apsaimniekošanas vajadzībām (skat. piemēram, https://www.tiesibsargs.lv/resource/atzinums-par-meza-cela-tirisanu-ziema/).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Ainavu apvidū apzinātie komersantu (meža) ceļi ir ietverti ainavu aizsardzības zonā, kas netraucē to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ja konkrēts komersantu ceļš ir būtisks pašvaldībai (tās iedzīvotājiem), pašvaldībai ir iespēja to pārņemt savā īpašumā un apsaimniekot kā pašvaldības ceļu (kam tad tiks piemērots neitrālās zonas režīms).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Neitrālā zona izveidota, lai nodrošinātu apdzīvotu teritoriju funkcionēšanu un attīstību, kā arī valsts un pašvaldības ceļu, kā arī dzelzceļa uzturēšanu.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Visā ainavu apvidus teritorijā valsts, pašvaldību ceļi un dzelzceļš to nodalījuma joslas platumā ir noteikti kā neitrālā zona.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(ZM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Komersantu autoceļiem ir būtiski pieaugoša loma apdzīvoto vietu funkcionēšanas un attīstības nodrošināšanā. Tie pilda tādas pat funkcijas kā pašvaldības autoceļi.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Visā ainavu apvidus teritorijā valsts, pašvaldību, </w:t>
            </w:r>
            <w:r w:rsidR="00000000" w:rsidRPr="00000000" w:rsidDel="00000000">
              <w:rPr>
                <w:u w:val="single"/>
                <w:rtl w:val="0"/>
              </w:rPr>
              <w:t xml:space="preserve">komersantu</w:t>
            </w:r>
            <w:r w:rsidR="00000000" w:rsidRPr="00000000" w:rsidDel="00000000">
              <w:rPr>
                <w:rtl w:val="0"/>
              </w:rPr>
              <w:t xml:space="preserve"> autoceļi un dzelzceļš to nodalījuma joslas platumā ir noteikti kā neitrālā zona.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Komersantu ceļi nav vienlīdzīgi valsts un pašvaldību ceļiem, tā piemēram, meža komersantu ceļu galvenā funkcija ir nodrošināt meža apsaimniekošanu un ugunsapsardzību, līdz ar to arī šādu ceļu uzturēšana tiek plānota atbilstoši meža apsaimniekošanas vajadzībām (skat. piemēram, https://www.tiesibsargs.lv/resource/atzinums-par-meza-cela-tirisanu-ziema/).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Ainavu apvidū apzinātie komersantu (meža) ceļi ir ietverti ainavu aizsardzības zonā, kas netraucē to uzturēšanu.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ja konkrēts komersantu ceļš ir būtisks pašvaldībai (tās iedzīvotājiem), pašvaldībai ir iespēja to pārņemt savā īpašumā un apsaimniekot kā pašvaldības ceļu (kam tad tiks piemērots neitrālās zonas režīms).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Visā ainavu apvidus teritorijā valsts, pašvaldību ceļi un dzelzceļš to nodalījuma joslas platumā ir noteikti kā neitrālā zona.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Visā ainavu apvidus teritorijā valsts, pašvaldību autoceļi un dzelzceļš tā nodalījuma joslas platumā ir noteikti kā neitrālā zona.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(SAM - 14.11.2023.)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attiecināt nosacījumu "neitrālā zona" gan uz dzelzceļa, gan autoceļu nodalījuma joslām.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Visā ainavu apvidus teritorijā valsts, pašvaldību autoceļi un dzelzceļš to nodalījuma joslas platumā ir noteikti kā neitrālā zona.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apakšpunkts.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Visā ainavu apvidus teritorijā valsts, pašvaldību ceļi un dzelzceļš to nodalījuma joslas platumā ir noteikti kā neitrālā zona.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Savā 2023. gada 7. novembra atzinumā Tieslietu ministrija ietvēra iebildumu, ka anotācijas sadaļā “Pamatojums” nepieciešams ietvert detalizētu projekta satversmīguma izvērtējumu, jo projekts paredz izveidot jaunu īpaši aizsargājamu teritoriju, nosakot virkni īpašuma lietošanas tiesību aprobežojumus. Ikkatram aprobežojumam ir jābūt izvērtētam, pamatotam un samērīgam. Lai ne tikai institūcijas, kas tiesību aktu projektu saskaņo, bet arī sabiedrība (īpaši tā sabiedrības daļa, kuru tiesību akta projekts ietekmē) varētu pārliecināties par to, ka ar tiesību akta projektu noteiktie ierobežojumi atbilst Latvijas Republikas Satversmei, tiesību akta projekta anotācijā būtu atspoguļojams tiesību akta projekta sagatavotāja (kas ir atbildīgs par tiesību akta projektā noteikto ierobežojumu satversmīgumu) veiktais satversmīguma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norāda, ka, lai atbilstoši Satversmes tiesas izstrādātajai metodikai noskaidrotu, vai normā  noteiktais  tiesību uz īpašumu ierobežojums ir attaisnojams, jāpārbauda, vai: 1) ierobežojums ir noteikts saskaņā ar likumu; 2) ierobežojumam ir leģitīms mērķis; 3) ierobežojums  ir  samērīgs. Atbilstoši Satversmes tiesas iedibinātajai praksei attiecībā uz pamattiesību ierobežojuma samērīgumu ir jāvērtē: 1) vai izraudzītie līdzekļi ir piemēroti leģitīmā mērķa sasniegšanai jeb vai ar izraudzīto līdzekli var sasniegt leģitīmo mērķi; 2) vai šāda rīcība ir nepieciešama jeb vai leģitīmo mērķi nevar sasniegt ar indivīda tiesības mazāk ierobežojošiem līdzekļiem; 3) vai ierobežojums ir atbilstošs jeb vai labums, ko iegūst sabiedrība, ir lielāks par indivīda tiesībām nodarīto kaitējumu (sk., piemēram, Satversmes tiesas 2011. gada 18. marta sprieduma lietā Nr. 2010-50-03 12. punktu vai 2011. gada 3. novembra lietas Nr.2011-05-01 20.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anotācijā vēl joprojām nav atspoguļoti vairāki no augstāk minētajiem satversmīguma izvērtējuma aspektiem, lūdzam 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Lielākā daļa (92%) privātīpašumu ar noteikumu projektu netiek aprobežotas vai aprobežojumi ir nebūtiski (piemēram, sezonāls koku ciršanas ierobežojums). Savukārt būtiskākie aprobežojumi (piemēram, mežizstrādei), kas ir noteikti, balstīti Eiropas platauša sugas aizsardzības plānā norādītajiem zinātniskajiem apsvērumiem.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ir norādīts, ka </w:t>
            </w:r>
            <w:r w:rsidR="00000000" w:rsidRPr="00000000" w:rsidDel="00000000">
              <w:rPr>
                <w:i w:val="1"/>
                <w:rtl w:val="0"/>
              </w:rPr>
              <w:t xml:space="preserve">"ņemot vērā, ka nacionālajos medību tiesību aktos nav noteikti svina munīcijas lietošanas ierobežojumi (tādi ir paredzēti tikai aizsargājamo teritoriju regulējumā) un Latvijas likumdošanā nav noteikts, kura iestāde kontrolēs regulas prasības ievērošanu visā valstī, noteikumu projekta 10.6. apakšpunkts paredz aizliegumu svina saturošu skrošu munīciju lietošanai ūdensputnu medībās, kā arī atrašanos ūdenstilpēs ar šāda veida munīciju, kuru kontroli (administratīvā pārkāpuma procesu) veiks Pārvalde."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minētā administratīvā atbildība izrietēs jau no esošiem (atbildības) pamatiem Medību likumā  vai arī ir plānots veikt grozījumus minētajā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ietverot 9.6.apakšpunktu, administratīvā atbildība un attiecīgi Dabas aizsardzības pārvaldes tiesības veikt administratīvo procesu izrietēs no likuma "Par īpaši aizsargājamām dabas teritorijām" 45.panta otrās daļas un 46.panta otrās daļas (par aizsargājamo teritoriju aizsardzību un izmantošanu regulējošo normatīvo aktu prasību pārkāpšanu).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Medību likuma grozījumi (ja nepieciešami), lai paredzētu administratīvo atbildību un iestāžu kompetences par REACH regulas ievērošanas uzraudzību visā Latvijā, ir Zemkopības ministrijas kompetencē.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w:t>
            </w:r>
            <w:r w:rsidR="00000000" w:rsidRPr="00000000" w:rsidDel="00000000">
              <w:rPr>
                <w:u w:val="single"/>
                <w:rtl w:val="0"/>
              </w:rPr>
              <w:t xml:space="preserve">projekta 9.2. apakšpunkts noteic, ka projektā noteiktie aprobežojumi neattiecas uz valsts nozīmes satiksmes infrastruktūras objektiem, kuru būvniecībai vai pārbūvei atbilstoši normatīvajos aktos noteiktajai kārtībai par ietekmes uz vidi novērtējumu Vides pārraudzības valsts birojs ir izdevis atzinumu par ietekmes novērtējuma ziņojumu un tajā iekļauti nosacījumi, ar kādiem paredzētā darbība var būt īstenojama (ievērojot Dabas aizsardzības pārvaldes norādītos pasākumus īpaši aizsargājamo sugu un īpaši aizsargājamo biotopu aizsardzībai)</w:t>
            </w:r>
            <w:r w:rsidR="00000000" w:rsidRPr="00000000" w:rsidDel="00000000">
              <w:rPr>
                <w:rtl w:val="0"/>
              </w:rPr>
              <w:t xml:space="preserve">. Savukārt anotācijas 1.3. apakšsadaļā norādīts, ka </w:t>
            </w:r>
            <w:r w:rsidR="00000000" w:rsidRPr="00000000" w:rsidDel="00000000">
              <w:rPr>
                <w:u w:val="single"/>
                <w:rtl w:val="0"/>
              </w:rPr>
              <w:t xml:space="preserve">saskaņā ar projekta 9.2. apakšpunktu ainavu aizsardzības zonā un neitrālajā zonā esošajos nekustamajos īpašumos plānotajai derīgo izrakteņu ieguves vietai netiek attiecināti šo noteikumu projekta ierobežojumi (piemēram, aizliegums iznīcināt Eiropas Savienības nozīmes zālāju biotopu), kas izriet no projekta II nodaļas (Vispārīgie aprobežojumi), bet ir jāievēro Dabas aizsardzības pārvaldes noteiktie nosacījumi ietekmes uz īpaši aizsargājamām sugām vai biotopiem novēršanai vai mazināšanai (piemēram, zālāja atjaunošana vai izveidošana citā vietā u.tml.)</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pārrakstīšanās kļūda.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w:t>
            </w:r>
            <w:r w:rsidR="00000000" w:rsidRPr="00000000" w:rsidDel="00000000">
              <w:rPr>
                <w:u w:val="single"/>
                <w:rtl w:val="0"/>
              </w:rPr>
              <w:t xml:space="preserve">projekta 30. punktā paredzēts regulējums par ainavas aizsardzības zonā attiecīgajiem mežsaimniecības darbības aizliegumiem no 1. maija līdz 31. jūlijam</w:t>
            </w:r>
            <w:r w:rsidR="00000000" w:rsidRPr="00000000" w:rsidDel="00000000">
              <w:rPr>
                <w:rtl w:val="0"/>
              </w:rPr>
              <w:t xml:space="preserve">. Savukārt anotācijas 1.3. apakšsadaļā norādīts, ka, </w:t>
            </w:r>
            <w:r w:rsidR="00000000" w:rsidRPr="00000000" w:rsidDel="00000000">
              <w:rPr>
                <w:u w:val="single"/>
                <w:rtl w:val="0"/>
              </w:rPr>
              <w:t xml:space="preserve">lai nodrošinātu esošo ceļu un dzelzceļu uzturēšanu, noteikumu projekta 30. punkts paredz, ka visā ainavu apvidus teritorijā valsts, pašvaldību autoceļi un dzelzceļš tā nodalījuma joslas platumā ir noteikti kā neitrālā zona. Turklāt neitrālā zona kartogrāfiskajā materiālā nav noteikta visiem pašvaldību ceļiem, kas nav izdalīti kā atsevišķas zemes vienības, bet tiem to nodalījuma joslas platumā tiek piemērots neitrālās zonas režīms atbilstoši projekta 30. punktam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Precizētas anotācijā minētās atsauces uz atbilstošajiem noteikumu projekta punktiem.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likuma "Par nekustamā īpašuma nodokli" 7. panta trešā daļa paredz </w:t>
            </w:r>
            <w:r w:rsidR="00000000" w:rsidRPr="00000000" w:rsidDel="00000000">
              <w:rPr>
                <w:u w:val="single"/>
                <w:rtl w:val="0"/>
              </w:rPr>
              <w:t xml:space="preserve">regulējumu par nekustamā īpašuma nodokļa maksāšanas pienākuma izbeigšanos, kā arī attiecīgus izņēmuma gadījumus</w:t>
            </w:r>
            <w:r w:rsidR="00000000" w:rsidRPr="00000000" w:rsidDel="00000000">
              <w:rPr>
                <w:rtl w:val="0"/>
              </w:rPr>
              <w:t xml:space="preserve">. Savukārt anotācijas 1.3. apakšsadaļā ir norādīts, ka </w:t>
            </w:r>
            <w:r w:rsidR="00000000" w:rsidRPr="00000000" w:rsidDel="00000000">
              <w:rPr>
                <w:u w:val="single"/>
                <w:rtl w:val="0"/>
              </w:rPr>
              <w:t xml:space="preserve">likuma "Par nekustamā īpašuma nodokli" 7. panta trešā daļa paredz nekustamā īpašuma nodokļa papildlikmi par neapstrādātu lauksaimniecībā izmantojamo zemi</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atsauce uz atbilstošā likuma "Par nekustamā īpašuma nodokli" panta numerāciju (atbilstošais ir 3. panta pirmā prim daļa), kas paredz nekustamā īpašuma nodokļa papildlikmi par neapstrādātu lauksaimniecībā izmantojamo zemi.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projekta 29. punkts noteic, ka </w:t>
            </w:r>
            <w:r w:rsidR="00000000" w:rsidRPr="00000000" w:rsidDel="00000000">
              <w:rPr>
                <w:u w:val="single"/>
                <w:rtl w:val="0"/>
              </w:rPr>
              <w:t xml:space="preserve">ainavu aizsardzības zonā maksimāli pieļaujamā kailcirtes platība ir divi hektāri</w:t>
            </w:r>
            <w:r w:rsidR="00000000" w:rsidRPr="00000000" w:rsidDel="00000000">
              <w:rPr>
                <w:rtl w:val="0"/>
              </w:rPr>
              <w:t xml:space="preserve">. Savukārt anotācijas 1.3. apakšsadaļā norādīts, ka, </w:t>
            </w:r>
            <w:r w:rsidR="00000000" w:rsidRPr="00000000" w:rsidDel="00000000">
              <w:rPr>
                <w:u w:val="single"/>
                <w:rtl w:val="0"/>
              </w:rPr>
              <w:t xml:space="preserve">lai nodrošinātu veco koku (potenciālo platauša vasaras mītņu) saglabāšanu plašākā teritorijā, ainavu aizsardzības zonā, veicot koku ciršanu galvenajā un kopšanas cirtē, projekta 29. punkts paredz 10 ekoloģisko koku (uz cirsmas hektāru) saglabāšanu, prioritāri, vecākās priedes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anotācijā atsauces uz atbilstošo noteikumu projekta punktu numerāciju.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- 07.11.2023.)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Attiecināt skaidrojumus ne tikai uz nekustamā īpašuma īpašniekiem un tiesiskajiem valdītājiem, bet arī lietotājiem, kuri reģistrēti Nekustamā īpašuma valsts kadastra informācijas sistēmā.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skaidrojums.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3.sadaļas punktu “Cita informācija” ar informāciju, ka kompensāciju aprēķinam izmantotas kompensāciju atbalsta likmes atbilstoši Ministru kabineta 2023. gada 18. aprīļa noteikumiem Nr. 197 "Atbalsta piešķiršanas kārtība Eiropas Lauksaimniecības fonda lauku attīstībai platībatkarīgo un dzīvniekatkarīgo saistību īstenošanai", kā tas ir minēts arī anotācijas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- 10.11.2023.)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3. sadaļas punkta “Cita informācija” pirmo teikumu, norādot, ka noteikumu projekta grozījumiem nav ietekme uz valsts budžeta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norādīto projekta sasaisti ar Padomes 1992. gada 21. maija Direktīvu 92/43/EEK par dabisko dzīvotņu, savvaļas faunas un floras aizsardzību, lūdzam nepieciešamības gadījumā anotācijas 5. sadaļā norādīt, vai ar projekta normām tiek pārņemtas konkrētas direktīvas tiesību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Padomes 1992. gada 21. maija Direktīva 92/43/EEK par dabisko dzīvotņu, savvaļas faunas un floras aizsardzību (Biotopu direktīva) tiek pārņemta ar likumu "Par īpaši aizsargājamām dabas teritorijām" un plānotajiem Ministru kabineta noteikumiem par aizsargājamiem ainavu apvidiem (noteikumu projekts 22-TA-3783, attiecībā uz aizsargājamo ainavu apvidus "Koknese-Odziena" izveidošanu). Noteikumu projekts tikai veicina no direktīvas izrietošo prasību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 sadaļā šobrīd norādīts, ka tiesību akta projekts neskar jautājumus par tiesību akta projekta atbilstību saistībām pret Eiropas Savienību (turpmāk – ES). Vienlaikus anotācijas 1.3. apakšsadaļā skaidrots, ka projektā iekļautais regulējums par svinu saturošu skrošu lietojuma aizliegumu aizsargājamo ainavu apvidū izriet no 2006. gada 18. decembra Regulas Nr. 1907/2006.</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gadījumā, ja projekta 10.6. apakšpunktā ietvertais aizliegums izriet no ES tiesībām, to nepieciešamas atspoguļot anotācijas 5. sadaļā, norādot arī konkrētas regulas normas, no kurām attiecīgais pienākums izriet (nosacījumi par svinu saturošu skrošu lietošanu mitrājos iekļauti regulas XVII pielikuma 63. 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no anotācijā ietvertā skaidrojuma šobrīd nav izsecināms, kā Latvija kopumā ieviesusi vai plāno ieviest iepriekšminēto </w:t>
            </w:r>
            <w:r w:rsidR="00000000" w:rsidRPr="00000000" w:rsidDel="00000000">
              <w:rPr>
                <w:u w:val="single"/>
                <w:rtl w:val="0"/>
              </w:rPr>
              <w:t xml:space="preserve">regulas</w:t>
            </w:r>
            <w:r w:rsidR="00000000" w:rsidRPr="00000000" w:rsidDel="00000000">
              <w:rPr>
                <w:rtl w:val="0"/>
              </w:rPr>
              <w:t xml:space="preserve"> prasību.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Pirmkārt, vēršam uzmanību, ka tieši piemērojamo ES tiesību aktu normas ir aizliegts pārrakstīt nacionālajā tiesiskajā regulējumā, lai neierobežotu regulu vienveidīgu piemērošanu ES. Nosacījums, ka no “</w:t>
            </w:r>
            <w:r w:rsidR="00000000" w:rsidRPr="00000000" w:rsidDel="00000000">
              <w:rPr>
                <w:i w:val="1"/>
                <w:rtl w:val="0"/>
              </w:rPr>
              <w:t xml:space="preserve">2023. gada 15. februāra mitrājos vai līdz 100 m attālumā no mitrājiem ir aizliegts izšaut skrotis, kurās svina koncentrācija (izteikta kā metāls) pēc masas ir 1 % vai vairāk</w:t>
            </w:r>
            <w:r w:rsidR="00000000" w:rsidRPr="00000000" w:rsidDel="00000000">
              <w:rPr>
                <w:rtl w:val="0"/>
              </w:rPr>
              <w:t xml:space="preserve"> [turpmāk arī - svina skrotis], </w:t>
            </w:r>
            <w:r w:rsidR="00000000" w:rsidRPr="00000000" w:rsidDel="00000000">
              <w:rPr>
                <w:i w:val="1"/>
                <w:rtl w:val="0"/>
              </w:rPr>
              <w:t xml:space="preserve">kā arī šādas skrotis nēsāt šaušanas izgājienā mitrājos vai šāda šaušanas izgājiena ietvaros</w:t>
            </w:r>
            <w:r w:rsidR="00000000" w:rsidRPr="00000000" w:rsidDel="00000000">
              <w:rPr>
                <w:rtl w:val="0"/>
              </w:rPr>
              <w:t xml:space="preserve">” (regulas XVII pielikuma 63. punkta 11. apakšpunkts) jau nepārprotami izriet no regulas teksta un šādu nosacījumu nacionālajos normatīvajos aktos nav jāiekļauj. Šādā gadījumā lūdzam apsvērt nepieciešamību projekta 10.6. apakšpunktu svītrot.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gadījumā, ja Latvijā plānots noteikt stingrākas prasības, nekā paredz regula, to nepieciešams norādīt anotācijas 5. sadaļā, tostarp lai neradītu maldīgu priekšstatu, ka attiecīgo aizliegumu nosaka ES tiesību akti. Šajā sakarā vēršam uzmanību, ka projekta 10.6. apakšpunktā noteiktais aizliegums formulēts atšķirīgi, nekā regulā.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Otrkārt, saskaņā ar regulas XVII pielikuma 63. punkta 12. apakšpunktu, gadījumos, ja vismaz 20 % dalībvalsts teritorijas, neskaitot teritoriālos ūdeņus, ir mitrāji, attiecīgā dalībvalsts var 11. punkta pirmajā daļā noteiktā ierobežojuma vietā visā savā teritorijā no 2024. gada 15. februāra aizliegt laist tirgū svina skrotis, šādas skrotis izšaut un nēsāt. Citiem vārdiem, regula piešķir dalībvalstij rīcības brīvību vispār noteikt svina skrošu aizliegumu savā teritorijā. Šādā gadījumā dalībvalstij ir pienākumus paziņot Eiropas Komisijai par šādu aizliegumu.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jau minēts, no anotācijā norādītā skaidrojuma nav izsecināms, vai projekta 10.6. apakšpunktā iekļautais aizliegums tiek īstenots dalībvalsts rīcības brīvības ietvaros, vai arī tas uzskatāms par nacionālo regulējumu, kas ir stingrāks, nekā no regulas regulas XVII pielikuma 63. punkta 11. apakšpunkta izrietošais.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lūdzam izvērtēt minētos jautājumus par 2006. gada 18. decembra Regulas Nr. 1907/2006 XVII pielikuma 63. punkta ieviešanu Latvijā, un attiecīgi precizēt anotāciju, kā arī nepieciešamības gadījumā -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5. 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22-TA-3788</w:t>
    </w:r>
    <w:r>
      <w:br/>
    </w:r>
    <w:r w:rsidR="00000000" w:rsidRPr="00000000" w:rsidDel="00000000">
      <w:rPr>
        <w:rtl w:val="0"/>
      </w:rPr>
      <w:t xml:space="preserve">28.03.2024. 22.22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22-TA-3788</w:t>
    </w:r>
    <w:r>
      <w:br/>
    </w:r>
    <w:r w:rsidR="00000000" w:rsidRPr="00000000" w:rsidDel="00000000">
      <w:rPr>
        <w:rtl w:val="0"/>
      </w:rPr>
      <w:t xml:space="preserve">28.03.2024. 22.22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Izziņa_22-TA-3788.docx</dc:title>
</cp:coreProperties>
</file>

<file path=docProps/custom.xml><?xml version="1.0" encoding="utf-8"?>
<Properties xmlns="http://schemas.openxmlformats.org/officeDocument/2006/custom-properties" xmlns:vt="http://schemas.openxmlformats.org/officeDocument/2006/docPropsVTypes"/>
</file>