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25-TA-323: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Nodokļu un muitas policijas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izstrādāto nolikuma projektu un veidot to bez atsaucēm uz citiem normatīvajiem aktiem, kuri ir saistoši. Tā vietā aicinām aprakstīt Valsts pārvaldes iekārtas likuma 16. panta otrajā daļā noteiktos jautājumus bez atsaucēm uz citiem normatīvajiem aktiem, strukturējot punktus pa nodaļām. Nolikuma projekts tikai daļēji atklāj, kādas ir, piemēram, iestādes funkcijas, uzdevumi un kompetence. Aicinām skatīt, piemēram, Ministru kabineta 2023. gada 19. decembra noteikumus Nr. 784 "Bērnu aizsardzības centra nolikums".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nolikuma 3.1.apakšpunkta redakcija "3.1. pilda kompetentās iestādes funkcijas skaidras naudas kontroles nodrošināšanai, ko ieved Latvijas Republikā vai izved no tās, šķērsojot valsts iekšējo robežu vietās, kurās veic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ir strukturēts pa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tiesiskais regulējums ir noteikts Nodokļu un muitas policijas likuma, kas stāsies spēkā 2026. gada 1. janvārī, 4. pantā un 8. pantā, bet atsevišķi uzdevumi un kompetence arī citos ar Nodokļu un muitas policijas darbību saistītajos normatīvajos aktos, piemēram, Kriminālprocesa likumā, Operatīvās darbības likumā, Saeimas 2024. gada 21. novembrī pieņemtajā likumā “Grozījumi Administratīvās atbildības likumā” (Nr. 615/Lp14) un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Nodokļu un muitas policijas likumā ir noteiktas Nodokļu un muitas policijas funkcijas, uzdevumi un kompetence un ievērojot Ministru kabineta 2009.gada 3. februāra noteikumu Nr.108 “Normatīvo aktu projektu sagatavošanas noteikumi” 3.2. apakšpunktā noteikto, ka normatīvā akta projektā neietver normas, kas dublē augstāka vai tāda paša spēka normatīvā akta tiesību normās ietverto normatīvo regulējumu, iebildums par Nolikuma papildināšanu ar Nodokļu un muitas policijas funkcijām, uzdevumiem un kompetenci netiek ņemts vērā. Turklāt piemērā norādītajam Ministru kabineta 2023. gada 19. decembra noteikumi Nr. 784 "Bērnu aizsardzības centra nolikums" nav atbilstošs paraugs Nodokļu un muitas policijas nolikuma satura veidošanai, jo Bērnu aizsardzības centram nav augstāka likuma, kurā būtu noteiktas tā funkcijas, uzdevumi un kompetence. Ministru kabineta 2018. gada 4. septembra noteikumu Nr. 556 “Korupcijas novēršanas un apkarošanas biroja nolikums” 2.punktā ir sniegta atsauce, ka  Birojs veic Korupcijas novēršanas un apkarošanas biroja likumā noteiktās funkcijas. Minētā nolikuma 3.punktā noteikts, ka Birojs savā darbībā ievēro Korupcijas novēršanas un apkarošanas biroja likumā un citos normatīvajos aktos noteiktās tiesības un pienākumus. Ministru kabineta 2005.gada 18.janvāra noteikumu Nr.46 “Valsts policijas nolikums” 2.punktā noteikts, ka Valsts policijas darbības tiesiskais pamats, uzdevumi un funkcijas noteiktas likumā “Par policiju” un citos normatīvajos aktos, kas regulē Valsts policijas darbību. Ministru kabineta 2018. gada 18. decembra noteikumu Nr. 823 “Valsts drošības dienesta nolikums” 2.punktā noteikts, ka Dienests veic Nacionālās drošības likumā, Valsts drošības iestāžu likumā, Operatīvās darbības likumā, likumā "Par valsts noslēpumu" un citos normatīvajos aktos noteiktās funkcijas un uzdevumus. Ņemot vērā minēto, Nolikuma saturs veidots ievērojot un atbilstoši Nodokļu un muitas policijas likuma regulējumam, kā arī citu tiesību aizsardzības iestāžu nolikumu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jaunu 2. punktu, kas noteiktu, kāds ir Nodokļu un muitas policijas darbības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papildināts ar 2.punktu sekojošā redakcijā "2. Nodokļu un muitas policijas darbības mērķis ir tiesiska, taisnīga, efektīva valsts pārvaldes funkciju īstenošana muitas noteikumu pārkāpumu un noziedzīgo nodarījumu valsts ieņēmumu un muitas lietu jomā atklāšanā, novēršanā un izmeklēšanā."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Nolikuma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juridisko praksi un Ministru kabineta 2009. gada 3. februāra noteikumu Nr. 108 "Normatīvo aktu projektu sagatavošanas noteikumi" 103. punktā noteikto, lūdzam noteikumu projektu sadalīt nodaļās, jo tas uzlabo noteikumu projekta teksta uztveramību un skaidrību.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Nodokļu un muitas policijas ierēdņi pilnvaru apliecināšanai uzrāda dienesta apliecību kopā ar Nodokļu un muitas policijas žetonu.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6.punktu, jo Nodokļu un muitas policijas likuma 12.pants  jau paredz regulējumu par pilnvaru apliecināšanu. Ja šāds regulējums ir iekļaujams atbilstoši Valsts pārvaldes iekārtas likuma 16.panta otrās daļas 7.punktam, tad lūdzam to pamatot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anotācijā ir sniegta informācija, ka noteikumu 6. punktā paredzēts noteikt, ka Nodokļu un muitas policijas ierēdņi pilnvaru apliecināšanai uzrāda dienesta apliecību kopā ar Nodokļu un muitas policijas žetonu. Nodokļu un muitas policijas likuma, kas stāsies spēkā 2026. gada 1. janvārī, 12. panta pirmajā daļā noteikts, ka Nodokļu un muitas policijas ierēdnim un darbiniekam pilnvaru apliecināšanai izdod dienesta apliecību. Dienesta apliecības aprakstu un paraugu nosaka Ministru kabinets, bet nav noteikts deleģējums, ka dienesta apliecību uzrāda kopā ar Nodokļu un muitas policijas žetonu. Vēršam uzmanību, ka noteikumu projektā nevar ietvert regulējumu (pārnesot trūkstošo deleģējumu), kas ir pretrunā vai neatbilst augstāka juridiskā spēka  normatīvajam aktam. Papildus iestādes nolikumā ir regulējumi iestādes darbības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iekļauts atbilstoši Valsts pārvaldes iekārtas likuma 16.panta otrās daļas 7.punktam. Anotācijas 1.3.apakšnodaļas </w:t>
            </w:r>
            <w:r w:rsidR="00000000" w:rsidRPr="00000000" w:rsidDel="00000000">
              <w:rPr>
                <w:i w:val="1"/>
                <w:rtl w:val="0"/>
              </w:rPr>
              <w:t xml:space="preserve">Pašreizējā situācija, problēmas un risinājumi</w:t>
            </w:r>
            <w:r w:rsidR="00000000" w:rsidRPr="00000000" w:rsidDel="00000000">
              <w:rPr>
                <w:rtl w:val="0"/>
              </w:rPr>
              <w:t xml:space="preserve"> sadaļas </w:t>
            </w:r>
            <w:r w:rsidR="00000000" w:rsidRPr="00000000" w:rsidDel="00000000">
              <w:rPr>
                <w:i w:val="1"/>
                <w:rtl w:val="0"/>
              </w:rPr>
              <w:t xml:space="preserve">Risinājuma apraksts</w:t>
            </w:r>
            <w:r w:rsidR="00000000" w:rsidRPr="00000000" w:rsidDel="00000000">
              <w:rPr>
                <w:rtl w:val="0"/>
              </w:rPr>
              <w:t xml:space="preserve"> 5.punkta </w:t>
            </w:r>
            <w:r w:rsidR="00000000" w:rsidRPr="00000000" w:rsidDel="00000000">
              <w:rPr>
                <w:rtl w:val="0"/>
              </w:rPr>
              <w:t xml:space="preserve">redakcija ir papildināta.</w:t>
            </w:r>
            <w:r w:rsidR="00000000" w:rsidRPr="00000000" w:rsidDel="00000000">
              <w:rPr>
                <w:rtl w:val="0"/>
              </w:rPr>
              <w:t xml:space="preserve">“Īpaši tas ir svarīgi tiesībsargājošajās iestādēs, kur dienesta apliecība vien nenodrošina pietiekamu drošību pret viltošanu vai ļaunprātīgu izmantošanu. Žetons ir unikāls un grūtāk viltojams. Žetons ir kā papildus drošība ja nepieciešams pārbaudīt amatpersonas pilnvaras, žetona numuru var salīdzināt ar attiecīgās iestādes reģistriem, lai pārliecinātos, ka persona tiešām ir attiecīgās iestādes pārstāvis. Sabiedrības uzticamība būs augstāka, cilvēki biežāk uzticēsies amatpersonai, ja tā uzrādīs ne tikai dokumentu, bet arī fizisku, unikālu identifikācijas zīmi. Īpaši svarīgi tas ir situācijās, kur pastāv risks, ka kāds varētu uzdoties par amatpersonu, piemēram, veicot kontroles pasākumus vai kratīšanas”.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Nodokļu un muitas policijas ierēdņi pilnvaru apliecināšanai uzrāda dienesta apliecību kopā ar Nodokļu un muitas policijas žetonu.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Nodokļu un muitas policijas priekšnieks Nodokļu un muitas policijā ir augstāka amatpersona </w:t>
            </w:r>
            <w:r w:rsidR="00000000" w:rsidRPr="00000000" w:rsidDel="00000000">
              <w:rPr>
                <w:rtl w:val="0"/>
              </w:rPr>
              <w:t xml:space="preserve">Administratīvā procesa likuma</w:t>
            </w:r>
            <w:r w:rsidR="00000000" w:rsidRPr="00000000" w:rsidDel="00000000">
              <w:rPr>
                <w:rtl w:val="0"/>
              </w:rPr>
              <w:t xml:space="preserve"> un </w:t>
            </w:r>
            <w:r w:rsidR="00000000" w:rsidRPr="00000000" w:rsidDel="00000000">
              <w:rPr>
                <w:rtl w:val="0"/>
              </w:rPr>
              <w:t xml:space="preserve">Administratīvās atbildības likuma</w:t>
            </w:r>
            <w:r w:rsidR="00000000" w:rsidRPr="00000000" w:rsidDel="00000000">
              <w:rPr>
                <w:rtl w:val="0"/>
              </w:rPr>
              <w:t xml:space="preserve">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regulējumu saglabā, projekta anotācijā pamatot, kāpēc ārējā normatīvajā aktā ir jānoteic augstāka amatpersona administratīvā pārkāpuma procesā un kāpēc konkrētajā gadījumā augstāka amatpersona ir Nodokļu un muitas policijas priekšnieks. Šāds regulējums ir netipisks administratīvās atbildības sistēmā, un nav saskatāma praktiska nepieciešamība to ietvert iestāžu nolikumos.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Augstākas amatpersonas izpratne administratīvā pārkāpuma procesā ir atklāta Administratīvās atbildības likuma 165. pantā. Augstāka amatpersona var būt tās pašas iestādes augstāka amatpersona (saskaņā ar noteikto institucionālo padotību) vai citas iestādes amatpersona (saskaņā ar noteikto funkcionālo padotību). Augstāku amatpersonu saskaņā ar institucionālo padotību nosaka ar normatīvajiem aktiem, kas paredz sākotnējā lēmuma pieņēmēja vispārējo padotību valsts pārvaldes organizācijā. Savukārt augstāku amatpersonu saskaņā ar funkcionālo padotību var noteikt speciālais nozares likums, kurā paredzēti administratīvie pārkāpumi un sodi par tiem, ja šāda augstāka amatpersona kopumā ir pilnvarota veikt attiecīgās valsts pārvaldes funkcijas vai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administratīvā pārkāpuma procesā augstāka amatpersona ir tās pašas iestādes vismaz vienu līmeni augstāka amatpersona, un parasti tie ir iestāžu vadītāji vai viņu vietnieki, bet lielākās un strukturāli plašākās iestādēs tie var būt arī iestādes struktūrvienību vadītāji vai viņu vietnieki. Konkrētu amatpersonu kompetence ir nevis Administratīvās atbildības likuma, bet gan nozares likumu un katras iestādes normatīvo aktu jautājums (sal. Putra I. 20. nodaļa. Lēmuma pārsūdzēšana augstākai amatpersonai administratīvā pārkāpuma lietā. Grām.: Administratīvo pārkāpumu tiesības. Administratīvās atbildības likuma skaidrojumi. Sagatavojis autoru kolektīvs. E. Danovska un G. Kūtra zinātniskajā redakcijā. Rīga: Tiesu namu aģentūra, 2020, 444.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augstāka amatpersona administratīvā pārkāpuma procesā ir atkarīga no lēmuma pieņēmēja. Tipiski tas ir lēmuma pieņēmēja tiešais vadītājs kā nākamā līmeņa augstākā amatpersona. Projekta anotācijā lēmumu pieņemšanas ierastā kārtība nav raksturota.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noteikta kārtība ir raksturīga visos administratīvā pārkāpuma procesos un nav arī plānots, ka paredzamā nākotnē tas varētu mainīties, projektā teorētiski varētu ietvert norādi, ka augstāka amatpersona administratīvā pārkāpuma procesā ir Nodokļu un muitas policijas priekšnieks (vai cita noteikta amatpersona). Tomēr šāda pieeja nav tipiska administratīvās atbildības sistēmā. Nav saskatāma praktiska nepieciešamība ārējā normatīvajā aktā regulēt tādu jautājumu un attīstīt šāda veida tiesību jaunrades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Ikvienā lēmumā administratīvā pārkāpuma procesā ir jānorāda informācija par lēmuma pārsūdzēšanu (piemēram, Administratīvās atbildības likuma 77. panta pirmās daļas 7. punkts, 121. panta otrās daļas 6. punkts, 153. panta pirmās daļas 11. punkts un otrās daļas 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ir jānorāda informācija par personas tiesībām lēmumu pārsūdzēt un informācija par pārsūdzēšanas kārtību (Laveniece-Straupmane N. 11. nodaļa. Procesuālie dokumenti. Skaidrojumi. Grām.: Administratīvo pārkāpumu tiesības. Administratīvās atbildības likuma skaidrojumi. Sagatavojis autoru kolektīvs. E. Danovska un G. Kūtra zinātniskajā redakcijā. Rīga: Tiesu namu aģentūra, 2020, 283. lpp.). Ar pārsūdzēšanas kārtību saprotams, kur (adrese) un kam iesniedzama sūdzība un tās iesniegšanas termiņš (tā, lai būtu saprotams, no kura brīža sākas termiņa skaitījums) (sal. Zeppa-Priedīte V. 320. pants. Nolēmuma struktūra. Grām.: Kriminālprocesa likuma komentāri. A daļa. Zinātniska monogrāfija prof. Kristīnes Stradas-Rozenbergas zinātniskā redakcijā. Rīga: Latvijas Vēstnesis, 2019, 858. lpp.; Briede J. 67. pants. Administratīvā akta forma un sastāvdaļas. Grām.: Administratīvā procesa likuma komentāri. A un B daļa. Sagatavojis autoru kolektīvs. Dr.iur. J. Briedes zinātniskajā redakcijā. Rīga: Tiesu namu aģentūra, 2013, 667. lpp.). Turklāt informācija par lēmuma pārsūdzēšanu ir jānorāda neatkarīgi no tā, vai lēmums ir pārsūdzams. Ja lēmums ir pārsūdzams, tad lēmumā norāda informāciju par personas tiesībām šo lēmumu pārsūdzēt un informāciju par pārsūdzēšanas kārtību. Ja lēmums nav pārsūdzams, tad lēmumā norāda, ka šis lēmums nav pārsūdzams. Ja vienā dokumentā ir apvienoti vairāki lēmumi, kas ir pārsūdzami daļā, lēmumā norāda, kādā daļā lēmums ir pārsūdzams un kādā daļā tas nav pārsūdzams (Laveniece-Straupmane N. 11. nodaļa. Procesuālie dokumenti. Skaidrojumi. Grām.: Administratīvo pārkāpumu tiesības. Administratīvās atbildības likuma skaidrojumi. Sagatavojis autoru kolektīvs. E. Danovska un G. Kūtra zinātniskajā redakcijā. Rīga: Tiesu namu aģentūra, 2020, 283.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ikvienam lēmuma adresātam jābūt tieši informētam par lēmuma pārsūdzēšanas iespējamību un kārtību. Līdz ar to pastāv jautājums, kādā nolūkā būtu nepieciešams iestādes nolikumā iekļaut vispārīga rakstura informāciju par pārsūdzēšanu. Turklāt nav izslēgts, ka nolikumā esošā informācija konkrētā gadījumā var neatbilst faktiskajai situācijai vai arī var zināmā mērā maldināt vai radīt neizpratni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"Saskaņā ar institucionālo padotību visi Nodokļu un muitas policijas nodarbinātie ir pakļauti Nodokļu un muitas policijas priekšniekam kā augstākai iestādes amatpersonai. Nodokļu un muitas policijas priekšniekam ir tiesības dot rīkojumu zemākām amatpersonām, kā arī atcelt zemākas amatpersonas lēmumu. Nodokļu un muitas policijas likums, kas stāsies spēkā 2026. gada 1. janvārī, nesatur pilnvarojumu Nodokļu un muitas policijas priekšniekam pildīt Administratīvās atbildības likumā noteiktās augstākas amatpersonas funkcijas un veikt administratīvā pārkāpuma lietā pieņemtā lēmuma tiesiskuma un pamatotības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vai citā ārējā normatīvajā aktā nav jābūt noteiktam, kura ir augstāka amatpersona administratīvā pārkāpuma procesā. Tipiskā gadījumā augstāku amatpersonu saskaņā ar institucionālo padotību nosaka ar normatīvajiem aktiem, kas paredz sākotnējā lēmuma pieņēmēja vispārējo padotību valsts pārvaldes organizācijā (Administratīvās atbildības likuma 165. panta otrā daļa). Parasti tas ir iekšējos normatīvajos aktos regulējams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augstākā iestādes amatpersona un augstāka amatpersona administratīvā pārkāpuma procesā nebūt nav identiski statusi. Tas, ka visas amatpersonas iestādē tā vai citādi ir padotas iestādes vadītājam, nenozīmē, ka iestādes vadītājam jābūt augstākai amatpersonai administratīvā pārkāpuma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9.punkts svītrots, precizēta nolikuma punktu numerācija, kā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Nodokļu un muitas policijas priekšnieks Nodokļu un muitas policijā ir augstāka amatpersona </w:t>
            </w:r>
            <w:r w:rsidR="00000000" w:rsidRPr="00000000" w:rsidDel="00000000">
              <w:rPr>
                <w:rtl w:val="0"/>
              </w:rPr>
              <w:t xml:space="preserve">Administratīvā procesa likuma</w:t>
            </w:r>
            <w:r w:rsidR="00000000" w:rsidRPr="00000000" w:rsidDel="00000000">
              <w:rPr>
                <w:rtl w:val="0"/>
              </w:rPr>
              <w:t xml:space="preserve"> un </w:t>
            </w:r>
            <w:r w:rsidR="00000000" w:rsidRPr="00000000" w:rsidDel="00000000">
              <w:rPr>
                <w:rtl w:val="0"/>
              </w:rPr>
              <w:t xml:space="preserve">Administratīvās atbildības likuma</w:t>
            </w:r>
            <w:r w:rsidR="00000000" w:rsidRPr="00000000" w:rsidDel="00000000">
              <w:rPr>
                <w:rtl w:val="0"/>
              </w:rPr>
              <w:t xml:space="preserve">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 panta otrā daļa paredz, ka augstāka iestāde ir tiesību subjekts, tā struktūrvienība vai amatpersona, kas hierarhiskā kārtībā var dot rīkojumu iestādei vai atcelt tās lēmumu. Augstāka iestāde Administratīvā procesa likuma kontekstā ir iestāde, kura īsteno funkcionālo padotību. Parasti funkcionālo padotību īsteno tā iestāde, kura īsteno arī institucionālo padotību, taču ir iespējami izņēmumi, piemēram, privātpersonai deleģētu valsts pārvaldes uzdevumu gadījumā. Tādējādi institucionālo padotību neīsteno augstāka iestāde Administratīvā procesa likuma izpratnē, bet gan hierarhiskās sistēmas augstākā iestāde vai amatpersona atbilstoši Valsts pārvaldes iekārtas likuma 31. un 32. pantā paredzētajam. Savukārt Ministru kabineta noteikumu projekta "Nodokļu un muitas policijas nolikums" (turpmāk – projekts) sākotnējās ietekmes novērtējuma ziņojumā (turpmāk – anotācija) ir ietverta informācija, ka saskaņā ar institucionālo padotību visi Nodokļu un muitas policijas nodarbinātie ir pakļauti Nodokļu un muitas policijas priekšniekam kā augstākai iestādes amatpersonai. Tādējādi, ja projekta 9. punktā ir noteikta institucionālā padotība, lūdzam precizēt projekta 9. punktu, nesaistot Nodokļu un muitas policijas institucionālo padotību ar Administratīvā procesa likumā noteikto. Savukārt, ja projekta 9. punktā ir noteikta funkcionālā padotība Administratīvā procesa likuma izpratnē, lūdzam paredzēt, ka Administratīvā procesa likuma izpratnē Nodokļu un muitas policijas priekšnieks ir augstāka iestāde (ievērojot Administratīvā procesa likuma 1. panta otrajā daļā noteikto), kā arī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9.punkts svītrots,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Nodokļu un muitas policijas priekšnieks ne retāk kā reizi gadā iesniedz Finanšu ministrijai pārskatu par Nodokļu un muitas policijas funkciju izpildi un budžeta līdzekļu izlietojumu, kā arī normatīvajos aktos noteiktajā kārtībā sagatavo publisko gada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tekstam ir jābūt lakoniskam, līdz ar to jāizvairās no liekvārdības, kā arī normatīvā akta projektā nepārraksta normas, kas atkārto citos vispārējos un speciālajos tiesību aktos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Ministru kabineta 2010. gada 5. maija noteikumos Nr. 413 "Noteikumi par gada publiskajiem pārskatiem" ir noteikts pienākums iestādēm sagatavot publiskos gada pārskatus, tad norma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Nodokļu un muitas policijas priekšnieks ne retāk kā reizi gadā iesniedz Finanšu ministrijai pārskatu par Nodokļu un muitas policijas funkciju izpildi un budžeta līdzekļu izlietojumu.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izstrādā normatīvo aktu un attīstības plānošanas dokumentu projektus noziedzīgu nodarījumu un likumpārkāpumu atklāšanas valsts ieņēmumu un muitas lietu jomā un sniedz atzinumus par citu institūciju sagatavotajiem normatīvo aktu un attīstības plānošanas dokumentu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Pārskatāmības un uztveramības nolūkā lūdzam sadalīt šo apakšpunktu, divos atsevišķos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nolikuma 4.punkta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funkciju īstenošanu, Nodokļu un muitas policija atbilstoši kompetencei veic Nodokļu un muitas policijas likumā un citos normatīvajos aktos noteiktos uzdevumus,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īsteno valsts politiku noziedzīgu nodarījumu un likumpārkāpumu atklāšanas valsts ieņēmumu un muitas lietu jomā un nodrošina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izstrādā normatīvo aktu un attīstības plānošanas dokumentu projektus noziedzīgu nodarījumu un likumpārkāpumu atklāšanas valsts ieņēmumu un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sniedz atzinumus par citu institūciju sagatavotajiem normatīvo aktu un attīstības plānošanas dokumentu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izstrādā normatīvo aktu un attīstības plānošanas dokumentu projektus noziedzīgu nodarījumu un likumpārkāpumu atklāšanas valsts ieņēmumu un muitas lietu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Nodokļu un muitas policijas priekšnieks nosaka kārtību, kādā Nodokļu un muitas policija veic šaujamieroču iegādi un reģistrāciju, īpašumā (valdījumā) esošo šaujamieroču un munīcijas izsniegšanu dienesta pienākumu izpildei, dienesta ieroču un munīcijas izņemšanu un iznīcināšanu, atbildīgās personas par šaujamieroču apriti un praktiskās šaušanas nodarbību organizēšanu.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attiecīgā pilnvarojuma ietveršanu noteikumu projektā atbilstoši Ministru kabineta 2009.gada 3.februāra noteikumu Nr.108 "Normatīvo aktu projektu sagatavošanas noteikumi" 129.punktam. Vēršam uzmanību, ka Nodokļu un muitas policijai būs tiesības izdot virkni arī citu iekšējo normatīvo aktu atbilstoši Valsts pārvaldes iekārtas likumam. Līdz ar to nav saprotama tieši šī iekšējā normatīvā akta izcelšana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iekļauts atbilstoši Valsts pārvaldes iekārtas likuma 16.panta otrās daļas 7.punktam.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6.punkts iekļauts saskaņā ar Ieroču aprites likuma 94.panta pirmo daļu, kas nosaka, ka  Nacionālo bruņoto spēku, Iekšlietu ministrijas sistēmas iestāžu, valsts drošības iestāžu, Latvijas Bankas, Valsts ieņēmumu dienesta, Ieslodzījuma vietu pārvaldes, Korupcijas novēršanas un apkarošanas biroja, Jaunsardzes centra, Valsts aizsardzības loģistikas un iepirkumu centra, Pulkveža Oskara Kalpaka profesionālās vidusskolas, Nodrošinājuma valsts aģentūras, ostas policijas un pašvaldības policijas valdījumā esošo ieroču, munīcijas un speciālo līdzekļu iegādāšanās, izmantošanas, pielietošanas, glabāšanas, nēsāšanas, realizēšanas, pārvadāšanas un pārsūtīšanas, treniņšaušanas, remonta, kā arī apmācībām nepieciešamo ieroču pārveidošanas kārtību nosaka šo institūciju darbību reglamentējošie normatīvie akti. Kā arī saskaņā ar Ministru kabineta noteikumu projektu (25-TA-790) "Nodokļu un muitas policijas ierēdņu dienesta šaujamieroču glabāšanas un nēsāšanas noteikumi"  17. punktu, kas paredz ka Nodokļu un muitas policijas īpašumā (valdījumā) esošo šaujamieroču un munīcijas uzskaites un izsniegšanas kārtību dienesta pienākumu izpildei un atbildīgo personu nosaka Nodokļu un muitas policijas priekšnieks.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Nodokļu un muitas policijas priekšnieks nosaka kārtību, kādā Nodokļu un muitas policija veic šaujamieroču iegādi un reģistrāciju, īpašumā (valdījumā) esošo šaujamieroču un munīcijas izsniegšanu dienesta pienākumu izpildei, dienesta ieroču un munīcijas izņemšanu un iznīcināšanu, atbildīgās personas par šaujamieroču apriti un praktiskās šaušanas nodarbību organizēšanu.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Nodokļu un muitas policijas darbu vada Nodokļu un muitas policijas priekšnieks.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šāda regulējuma nepieciešamību, jo minētais ir noteikts Nodokļu un muitas policijas likuma 6.panta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nepārprotamu uztveramību un vienveidību valsts pārvaldes iestāžu nolikumu sagatavošanas praksi, pamatojoties uz MK 03.02.2009. noteikumu Nr.108 “Normatīvo aktu projektu sagatavošanas noteikumi” 4.punktu, priekšlikums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Nodokļu un muitas policijas darbu vada Nodokļu un muitas policijas priekšnieks.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25-TA-323</w:t>
    </w:r>
    <w:r>
      <w:br/>
    </w:r>
    <w:r w:rsidR="00000000" w:rsidRPr="00000000" w:rsidDel="00000000">
      <w:rPr>
        <w:rtl w:val="0"/>
      </w:rPr>
      <w:t xml:space="preserve">16.05.2025. 18.33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25-TA-323</w:t>
    </w:r>
    <w:r>
      <w:br/>
    </w:r>
    <w:r w:rsidR="00000000" w:rsidRPr="00000000" w:rsidDel="00000000">
      <w:rPr>
        <w:rtl w:val="0"/>
      </w:rPr>
      <w:t xml:space="preserve">16.05.2025. 18.33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Izziņa_25-TA-323.docx</dc:title>
</cp:coreProperties>
</file>

<file path=docProps/custom.xml><?xml version="1.0" encoding="utf-8"?>
<Properties xmlns="http://schemas.openxmlformats.org/officeDocument/2006/custom-properties" xmlns:vt="http://schemas.openxmlformats.org/officeDocument/2006/docPropsVTypes"/>
</file>