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22-TA-2915: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2. jūnija noteikumos Nr. 279 "Ceļu satiksmes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 jūnija noteikumos Nr. 279 "Ceļu satiksmes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Satiksmes ministrijas sagatavotais Ministru kabineta noteikumu projekts “Grozījumi Ministru kabineta 2015. gada 2. jūnija noteikumos Nr.279 “Ceļu satiksmes noteikumi”” (turpmāk – projekts) un par to izsakām šādus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paredzētais regulējums tieši neskar administratīvās atbildības jautājumus. Tā ietekme var būt vienīgi pakārtota, ciktāl projektā esošā regulējuma pārkāpums var būt pamats piemērot Ceļu satiksmes likumā (turpmāk – likums) noteiktu administratīvu atbildību. Šajā aspektā uzmanību tomēr piesaista vairākas projektā novērojamas iezīmes, kas varētu radīt sarežģījumus, ja tiktu piemērota administratīvā atbildība par attiecīgo noteikumu pārkāpumu. Pirmkārt, projektā vairākos gadījumos ir ietverta nekonkretizēta norāde "ja nepieciešams" (piemēram, projekta 6., 11. un 13. punkts). Šīs pazīmes saturs nav skaidri nojaušams no projekta teksta, kā arī projekta anotācijā nav atrodamas nekādas vadlīnijas, kā šo pazīmi konkretizēt. Līdz ar to šāda veida pazīmes projektā būtu aizstājamas ar precīzāku pienākumu, ietverot pienācīgu skaidrojumu projekta anotācijā, vai arī svītrojamas. Otrkārt, projektā nav ietveramas rekomendējoša rakstura norādes. Normatīvajam tiesību aktam ir jāsatur tiesību normas, proti, noteikti pienākumi vai tiesības. Dažāda veida ieteikumiem ir paredzēti nesaistoša rakstura dokumenti. Piemēram, projekta 14. punktā ir norādīts, ka "ieteicams elektroskrejriteņa vadītājam būt tērptam augstas redzamības apģērbā ar gaismu atstarojošiem elementiem". Jebkurā gadījumā administratīvā atbildība par šāda veida ieteikumu neievērošanu nebūs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noteikumu būtiska iezīme ir tāda, ka tie ir plašāk lietotie un visplašāk izplatītie Ministru kabineta noteikumi starp dažādām sabiedrības grupām. Tādējādi tiem jābūt viegli uztveramiem un saprotamiem visām sabiedrības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Atsevišķas tiesību normas spēkā esošajos Ceļu satiksmes noteikumos jau satur norādi "ja nepieciešams" un līdz šim, ne veicot grozījumus tiesību aktā, ne piemērojot tiesību normas, valsts institūciju vai sabiedrības vidū neskaidrības vai neizpratne nav novērota.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normai attiecībā uz elektroskrejriteņa vadītāja tērpu ir rekomendējošs raksturs, dodot tiesības personai pašai izvērtēt iespējamos riskos, un administratīvā atbildība par šo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noteikumu projekta anotācija papildināta ar attiecīgu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 jūnija noteikumos Nr. 279 "Ceļu satiksmes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 jūnija noteikumos Nr. 279 "Ceļu satiksmes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Nr.606 “Ministru kabineta kārtības rullis” 55.2. apakšpunktam steidzamības kārtību projektu saskaņošanā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 Tieslietu ministrija vērš uzmanību, ka par Ministru kabineta noteikumu projektu “Grozījumi Ministru kabineta 2015. gada 2. jūnija noteikumos Nr.279 "Ceļu satiksmes noteikumi”” (turpmāk – projekts) Vienotajā tiesību aktu projektu portālā (VTAPP) tiek norādīts, ka projekts nav steidzams un tam arī nav steidzamības pamatojuma. Projekta virzība saskaņošanai ar citām ministrijām VTAPP uzsākta 2023. gada 13. jūnijā. Līdz ar to trīs darbdienu termiņš neatbilst Ministru kabineta 2021. gada 7. septembra noteikumos Nr.606 “Ministru kabineta kārtības rullis” paredzētajai tiesību aktu projektu saskaņošanas kārtībai. Ievērojot minēto, Tieslietu ministrija atzinumu par projektu sniegs līdz šā gada 28. jūnijam.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 jūnija noteikumos Nr. 279 "Ceļu satiksmes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7., 8. un 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ff" w:val="clear"/>
                <w:rtl w:val="0"/>
              </w:rPr>
              <w:t xml:space="preserve">"7. Gājējiem jāpārvietojas pa ietvi, gājēju ceļu, gājēju un velosipēdu ceļu vai kopīgu gājēju un velosipēdu ceļu, bet, ja to nav, – pa nomali. Ja ietves, gājēju ceļa, gājēju un velosipēdu ceļa, kopīga gājēju un velosipēdu ceļa vai nomales nav vai ja pa to pārvietoties nav iespējams, gājējiem ir atļauts pārvietoties pa brauktuves malu vienā rindā (pa ceļiem, kur ir sadalošā josla, – pa ārmalu). Ja uz ceļa netiek veikti remontdarbi un atļautais braukšanas ātrums nepārsniedz 30 km/h, gājējiem atļauts pārvietoties pa brauktuves malu arī vairāk nekā vienā rindā.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ff" w:val="clear"/>
                <w:rtl w:val="0"/>
              </w:rPr>
              <w:t xml:space="preserve">8. Pārvietoties pa ietvi, gājēju ceļu, gājēju un velosipēdu ceļu, kopīgu gājēju un velosipēdu ceļu vai nomali, izmantojot skrituļslidas, skrituļdēļus u. tml. inventāru, atļauts, ja tas netraucē citus ceļu satiksmes dalībniekus. Šķērsot brauktuvi ar skrituļslidām, skrituļdēli u. tml.  inventāru atļauts ar ātrumu, kas nepārsniedz gājēju pārvietošanās ātrumu.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ff" w:val="clear"/>
                <w:rtl w:val="0"/>
              </w:rPr>
              <w:t xml:space="preserve">9. Gājējiem, kuri iet pa brauktuves malu vai nomali ārpus apdzīvotām vietām, jāpārvietojas pretim transportlīdzekļu braukšanas virzienam. Personām, kuras brauc ratiņkrēslā vai stumj motociklu, mopēdu, velosipēdu u. tml. pa brauktuves malu vai nomali, atļauts pārvietoties pa jebkuru ceļa pusi.".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(Apvienība "Pilsēta cilvēkiem"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punktā termins remontdarbi ir pārāk šaurs - īslaicīgi ātruma ierobežojumi tiek ieviesti, arī veicot cita veida būvniecības vai uzturēšanas darbus (piemēram, paplašinot vai sašaurinot brauktuvi, izbūvējot gājēju vai velosipēdu infrastruktūru, izbūvējot jaunas komunikācijas). Atbilstošāks termins varētu būt darba vieta uz ceļiem, kas lietots arī Ceļu satiksmes likuma 42. pantā, vai darbi uz ceļiem, kā tas ir 200.1.4.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7., 8. un 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ff" w:val="clear"/>
                <w:rtl w:val="0"/>
              </w:rPr>
              <w:t xml:space="preserve">"7. Gājējiem jāpārvietojas pa ietvi, gājēju ceļu, gājēju un velosipēdu ceļu vai kopīgu gājēju un velosipēdu ceļu, bet, ja to nav, – pa nomali. Ja ietves, gājēju ceļa, gājēju un velosipēdu ceļa, kopīga gājēju un velosipēdu ceļa vai nomales nav vai ja pa to pārvietoties nav iespējams, gājējiem ir atļauts pārvietoties pa brauktuves malu vienā rindā (pa ceļiem, kur ir sadalošā josla, – pa ārmalu). Ja uz ceļa netiek veikti remontdarbi un atļautais braukšanas ātrums nepārsniedz 30 km/h, gājējiem atļauts pārvietoties pa brauktuves malu arī vairāk nekā vienā rindā.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ff" w:val="clear"/>
                <w:rtl w:val="0"/>
              </w:rPr>
              <w:t xml:space="preserve">8. Pārvietoties pa ietvi, gājēju ceļu, gājēju un velosipēdu ceļu, kopīgu gājēju un velosipēdu ceļu vai nomali, izmantojot skrituļslidas, skrituļdēļus u. tml. inventāru, atļauts, ja tas netraucē citus ceļu satiksmes dalībniekus. Šķērsot brauktuvi ar skrituļslidām, skrituļdēli u. tml.  inventāru atļauts ar ātrumu, kas nepārsniedz gājēju pārvietošanās ātrumu.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ff" w:val="clear"/>
                <w:rtl w:val="0"/>
              </w:rPr>
              <w:t xml:space="preserve">9. Gājējiem, kuri iet pa brauktuves malu vai nomali ārpus apdzīvotām vietām, jāpārvietojas pretim transportlīdzekļu braukšanas virzienam. Personām, kuras brauc ratiņkrēslā vai stumj motociklu, mopēdu, velosipēdu u. tml. pa brauktuves malu vai nomali, atļauts pārvietoties pa jebkuru ceļa pusi.".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1.Lūdzam precizēt projekta 7.punkta saturu, paredzot maksimālo rindu skaitu, kādā gājējiem atļauts pārvietoties pa brauktuves malu.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projekta 8.punkta svītroti vārdi "sporta vai atpūtas", kaut gan projekta anotācijā šāds skaidrojums saglabāts. Ņemot vērā minēto,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anotācijā nav iekļauts skaidrojums, kādēļ tiek precizēta projekta 9.punktā iekļautā kārtība, kādā turpmāk gājējiem jāpārvietojas pa brauktuves malu vai nomali ārpus apdzīvotām vietām. Lūdzam papildināt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 un 8.punkts, kā arī papildināta noteikumu projekta anotācija ar tekstu šādā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ceļu satiksmes drošības riskus apdzīvotās vietās un ārpus apdzīvotām vietām (atļautais braukšanas ātrums, redzamība, veicamās distances garums un ceļa šķērsošanas nepieciešamība) noteikumu projektā tiek precizēta Ceļu satiksmes noteikumos noteiktā kārtība, kura piemērojama gājēju kustībai gar brauktuves malu vai nomali ārpus apdzīvotām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18.1., 18.2. un 18.3.apakšpunktu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šķērsot</w:t>
            </w:r>
            <w:r w:rsidR="00000000" w:rsidRPr="00000000" w:rsidDel="00000000">
              <w:rPr>
                <w:shd w:fill="#ffffff" w:val="clear"/>
                <w:rtl w:val="0"/>
              </w:rPr>
              <w:t xml:space="preserve"> brauktuvi vietās, kur uzstādīti nožogojumi gājējiem vai ceļu nožogojumi, izņemot vietas, kur ceļa nožogojumos ir speciāli ierīkoti ceļa šķērsošanai paredzēti pārtraukumi;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ff" w:val="clear"/>
                <w:rtl w:val="0"/>
              </w:rPr>
              <w:t xml:space="preserve">18.2. šķērsot brauktuvi ārpus gājēju pārejas, ja brauktuvei ir četras vai vairāk braukšanas joslas un ja nav sadalošās joslas;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ff" w:val="clear"/>
                <w:rtl w:val="0"/>
              </w:rPr>
              <w:t xml:space="preserve">18.3. pārvietoties pa ceļu, kas apzīmēts ar 552. ceļa zīmi;”.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18.3. apakšpunkta redakcija faktiski netiek grozīta, svītrot to no projekta.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25.7.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 apturēt transportlīdzekli, ja policijas darbinieks, robežsargs, pašvaldības transporta kontroles dienesta amatpersona, muitas amatpersona vai Valsts tehniskās uzraudzības aģentūras inspektors dod norādījumu:”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Satiksmes ministrijas precizētais Ministru kabineta noteikumu projekts “Grozījumi Ministru kabineta 2015. gada 2. jūnija noteikumos Nr.279 “Ceļu satiksmes noteikumi”” (turpmāk – projekts) un par to izsakām šādus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punktā paredzēto Ministru kabineta 2015. gada 2. jūnija noteikumu Nr.279 “Ceļu satiksmes noteikumi” (turpmāk – noteikumi) 25.7. apakšpunktu nepieciešams izvērtēt un piedāvājam to svītrot. Vispirms vēlamies norādīt, ka projektā piedāvātais grozījums nav izteikts korekti, jo paredzēts izteikt jaunā redakcijā tikai noteikumu 25.7. apakšpunkta ievaddaļu, bet šādi izteiktā grozījumā nav iekļauti šā apakšpunkta apakšpunkti. Vienlaikus norādām, ka Valsts tehniskās uzraudzības aģentūras inspektoru iekļaušana šajā normā esošajā amatpersonu uzskaitījumā neatbilst Ceļu satiksmes likumā (turpmāk – likums) noteiktajai, tai skaitā grozījumos paredzētajai iestādes kompetencei un attiecīgi arī normu veidošanas prasībām noteikumos. Valsts tehniskās uzraudzības aģentūras inspektoriem kompetence ir tikai traktortehnikas jomā, nevis attiecināma uz visiem transportlīdzekļu vadītājiem. Tādējādi noteikumu 25. punktā, kas nosaka visu transportlīdzekļu vadītājiem pienākumus, Valsts tehniskās uzraudzības aģentūras norāde nav pamatota. Līdzīgi nepieciešams izvērtēt un precizēt projekta 7. punktā paredzēto noteikumu 25.9. apakšpunktu. Tieslietu ministrijas ieskatā Valsts tehniskās uzraudzības aģentūras kompetenci noteikumos varētu paredzēt kā atsevišķu, traktortehnikas vadītājiem noteiktu pienākumu, līdzīgi, kā tas ir nodalīts 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Traktortehnikas vadītājam papildus šo noteikumu 25. punktā noteiktajām prasībām ir pienākums apturēt traktortehniku pēc Valsts tehniskās uzraudzības aģentūras amatpersonas norādījuma.”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82.punktu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Braucot atpakaļgaitā, transportlīdzekļa vadītājs nedrīkst traucēt citus ceļu satiksmes dalībniekus. Ja tas nepieciešams ceļu satiksmes drošībai, transport­līdzekļa vadītājam minētā manevra veikšanā jālūdz citu personu palīdzība. Aizliegts braukt atpakaļgaitā pa ceļu, kas</w:t>
            </w:r>
            <w:r w:rsidR="00000000" w:rsidRPr="00000000" w:rsidDel="00000000">
              <w:rPr>
                <w:shd w:fill="#ffffff" w:val="clear"/>
                <w:rtl w:val="0"/>
              </w:rPr>
              <w:t xml:space="preserve"> apzīmēts ar 552. ceļa zīmi.".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punktā paredzēto grozījumu noteikumu 82. punktā nepieciešams papildus izvērtēt. Vēršam uzmanību, ka šobrīd grozījums ir precīzi atbilstošs spēkā esošajai normai, tādēļ tā būtība nav saprotama. Projekta anotācijā šī grozījuma būtība netiek skaidrota. Ievērojot minēto, piedāvājam svītrot projekta 6. punktā paredzēto grozījumu noteikumu 82.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82.punktu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Braucot atpakaļgaitā, transportlīdzekļa vadītājs nedrīkst traucēt citus ceļu satiksmes dalībniekus. Ja tas nepieciešams ceļu satiksmes drošībai, transport­līdzekļa vadītājam minētā manevra veikšanā jālūdz citu personu palīdzība. Aizliegts braukt atpakaļgaitā pa ceļu, kas</w:t>
            </w:r>
            <w:r w:rsidR="00000000" w:rsidRPr="00000000" w:rsidDel="00000000">
              <w:rPr>
                <w:shd w:fill="#ffffff" w:val="clear"/>
                <w:rtl w:val="0"/>
              </w:rPr>
              <w:t xml:space="preserve"> apzīmēts ar 552. ceļa zīmi.".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82. punkta redakcija faktiski netiek grozīta, svītrot to no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Papildināt noteikumus ar 25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Traktortehnikas vadītājs šo noteikumu 25.7. un 25.9. apakšpunktā noteiktās prasības pilda arī gadījumā, kad traktortehnika, atbilstoši noteikumu 25.7.2. apakšpunktam, tiek apturēta pēc Valsts tehniskās uzraudzības aģentūras amatpersonas norādījuma.”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Satiksmes ministrijas precizētais Ministru kabineta noteikumu projekts “Grozījumi Ministru kabineta 2015. gada 2. jūnija noteikumos Nr.279 “Ceļu satiksmes noteikumi”” (turpmāk – projekts) un par to izsakām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 punktā paredzēto Ministru kabineta 2015. gada 2. jūnija noteikumu Nr.279 “Ceļu satiksmes noteikumi” (turpmāk – noteikumi) 25.</w:t>
            </w:r>
            <w:r w:rsidR="00000000" w:rsidRPr="00000000" w:rsidDel="00000000">
              <w:rPr>
                <w:vertAlign w:val="superscript"/>
                <w:rtl w:val="0"/>
              </w:rPr>
              <w:t xml:space="preserve">1</w:t>
            </w:r>
            <w:r w:rsidR="00000000" w:rsidRPr="00000000" w:rsidDel="00000000">
              <w:rPr>
                <w:rtl w:val="0"/>
              </w:rPr>
              <w:t xml:space="preserve"> punktu nepieciešams papildus izvērtēt un piedāvājam to precizēt. Vēršam uzmanību, ka traktortehnikas vadītājam saistoši būs visi noteikumu 25. punktā paredzētie pienākumi un papildus vēl arī Ceļu satiksmes likuma (turpmāk – likums) 4. panta 6.</w:t>
            </w:r>
            <w:r w:rsidR="00000000" w:rsidRPr="00000000" w:rsidDel="00000000">
              <w:rPr>
                <w:vertAlign w:val="superscript"/>
                <w:rtl w:val="0"/>
              </w:rPr>
              <w:t xml:space="preserve">1</w:t>
            </w:r>
            <w:r w:rsidR="00000000" w:rsidRPr="00000000" w:rsidDel="00000000">
              <w:rPr>
                <w:rtl w:val="0"/>
              </w:rPr>
              <w:t xml:space="preserve"> daļā (atbilstoši likuma pārejas noteikumu 54. punktam norma stāsies spēkā 2024. gada 1. janvārī) noteiktais pienākums, kad Valsts tehniskās uzraudzības aģentūras amatpersona ir tiesīga apturēt ekspluatācijā esošu traktortehniku, lai kontrolētu traktortehnikas un tās piekabes tehnisko stāvokli. Tādējādi likuma norma nepārprotami norāda par Ministru kabineta 2022. gada 29. marta noteikumos Nr.203 “Noteikumi par traktortehnikas un tās piekabju valsts tehnisko apskati un tehnisko kontroli uz ceļiem” paredzēto pasākumu izpildi. Ievērojot minēto, traktortehnikas apturēšanas gadījumā var tikt veikti dažādi pasākumi, kas izriet no dažāda regulējuma, bet tie noteikumos nav jācenšas aptvert. Turklāt noteikumos paredzētais regulējums nevar stāties spēkā ātrāk kā likumā paredzētais, proti, šādai normai nepieciešams pārejas regulējums par spēkā stāšanos 2024. gada 1.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Traktortehnikas vadītājam papildus šo noteikumu 25. punktā noteiktajām prasībām ir pienākums apturēta traktortehniku pēc Valsts tehniskās uzraudzības aģentūras amatpersonas norādījuma.”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8.punkts, norādot, ka noteikumu projekts papildināts ar 25.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Traktortehnikas vadītājam papildus šo noteikumu 25. punktā noteiktajām prasībām ir pienākums apturēt traktortehniku pēc Valsts tehniskās uzraudzības aģentūras amatpersonas norādījuma.”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300.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300. Šo noteikumu 25.</w:t>
            </w:r>
            <w:r w:rsidR="00000000" w:rsidRPr="00000000" w:rsidDel="00000000">
              <w:rPr>
                <w:vertAlign w:val="superscript"/>
                <w:rtl w:val="0"/>
              </w:rPr>
              <w:t xml:space="preserve">1</w:t>
            </w:r>
            <w:r w:rsidR="00000000" w:rsidRPr="00000000" w:rsidDel="00000000">
              <w:rPr>
                <w:rtl w:val="0"/>
              </w:rPr>
              <w:t xml:space="preserve"> punktā noteiktie pienākumi traktortehnikas vadītājam apturēt traktortehniku pēc aģentūras amatpersonas pieprasījuma stājās spēkā 2024.gada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Papildināt noteikumus ar 200.1.4.</w:t>
            </w:r>
            <w:r w:rsidR="00000000" w:rsidRPr="00000000" w:rsidDel="00000000">
              <w:rPr>
                <w:vertAlign w:val="superscript"/>
                <w:rtl w:val="0"/>
              </w:rPr>
              <w:t xml:space="preserve"> </w:t>
            </w:r>
            <w:r w:rsidR="00000000" w:rsidRPr="00000000" w:rsidDel="00000000">
              <w:rPr>
                <w:rtl w:val="0"/>
              </w:rPr>
              <w:t xml:space="preserve">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ff" w:val="clear"/>
                <w:rtl w:val="0"/>
              </w:rPr>
              <w:t xml:space="preserve">"200.1.4. ja netiek veikti darbi uz ceļa, nav ierobežojumi, kam noteikts darbības laiks un nav dzīvojamā zona, lai brauktu pa braukšanas joslu visā tās platumā uz ceļiem, kur atļautais braukšanas ātrums nepārsniedz 30 km/h.".</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punktā paredzēto noteikumu 200.1.4. apakšpunktu nepieciešams papildus izvērtēt un precizēt atbilstoši tiesību normu izstrādes prasībām, proti, jaunajā normā nav jānorāda par darbu neveikšanu vai citām prasībām, kuras nav jāpilda, bet īsi un korekti jānorāda, kad “tālāk uz brauktuves atļauts izbraukt”.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Papildināt noteikumus ar 200.1.4.</w:t>
            </w:r>
            <w:r w:rsidR="00000000" w:rsidRPr="00000000" w:rsidDel="00000000">
              <w:rPr>
                <w:vertAlign w:val="superscript"/>
                <w:rtl w:val="0"/>
              </w:rPr>
              <w:t xml:space="preserve"> </w:t>
            </w:r>
            <w:r w:rsidR="00000000" w:rsidRPr="00000000" w:rsidDel="00000000">
              <w:rPr>
                <w:rtl w:val="0"/>
              </w:rPr>
              <w:t xml:space="preserve">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ff" w:val="clear"/>
                <w:rtl w:val="0"/>
              </w:rPr>
              <w:t xml:space="preserve">"200.1.4. ja netiek veikti darbi uz ceļa, nav ierobežojumi, kam noteikts darbības laiks un nav dzīvojamā zona, lai brauktu pa braukšanas joslu visā tās platumā uz ceļiem, kur atļautais braukšanas ātrums nepārsniedz 30 km/h.".</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(Apvienība "Pilsēta cilvēkiem"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Piedāvātajā 7. punkta redakcijā gājējiem atļauts pārvietoties pa ceļu vairākās rindās arī tad, ja maksimālais ātrums ir līdz 30 km/h tikai noteiktā diennakts laikā (piemēram, pie izglītības iestādēm), taču velosipēdu vadītājiem šādās vietās jebkurā diennakts laikā atļauts braukt tikai vienā rindā pa brauktuves malu, kas nešķiet konsekventi.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vietā, kur ikdienā maksimāli atļautais ātrums ir 30 km/h, tiks veikti darbi uz ceļa, šajā vietā vairs nedrīkstēs braukt pa braukšanas joslu visā tās platumā, kas nešķiet loģiski.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Vārdi "nav ierobežojumi, kam noteikts darbības laiks" nepasaka, ka attiecas tikai uz ātruma ierobežojumiem - par ierobežojumiem skaitās arī, piemēram, apstāšanās un stāvēšanas aizliegums. Pareizāk būtu teikt, ka šajā vietā saskaņā ar uzstadītajām zīmēm maksimāli atļautais ātrums neviena brīdī nepārsniedz 30 km/h - tas nosegtu arī gadījumu, kad pa dienu ir 20 km/h, bet naktī - 30 km/h.</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Papildināt noteikumus ar 200.1.4.</w:t>
            </w:r>
            <w:r w:rsidR="00000000" w:rsidRPr="00000000" w:rsidDel="00000000">
              <w:rPr>
                <w:vertAlign w:val="superscript"/>
                <w:rtl w:val="0"/>
              </w:rPr>
              <w:t xml:space="preserve"> </w:t>
            </w:r>
            <w:r w:rsidR="00000000" w:rsidRPr="00000000" w:rsidDel="00000000">
              <w:rPr>
                <w:rtl w:val="0"/>
              </w:rPr>
              <w:t xml:space="preserve">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ff" w:val="clear"/>
                <w:rtl w:val="0"/>
              </w:rPr>
              <w:t xml:space="preserve">"200.1.4. ja netiek veikti darbi uz ceļa, nav ierobežojumi, kam noteikts darbības laiks un nav dzīvojamā zona, lai brauktu pa braukšanas joslu visā tās platumā uz ceļiem, kur atļautais braukšanas ātrums nepārsniedz 30 km/h.".</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viennozīmīgi saprotama projekta autora piedāvātā redakcija, tādēļ, lūdzam precizēt, kādiem apstākļiem jāpiepildās, lai velosipēda vadītājs varētu braukt pa brauktuvi visā platumā.  Skatīt  Ministru kabineta 2015.gada 2.jūnija noteikumu Nr.279 "Ceļu satiksmes noteikumi" 139.punktu, proti, dzīvojamā zonā, degvielas uzpildes stacijās un stāvvietās gājējiem, velosipēdu un elektroskrejriteņu vadītājiem atļauts pārvietoties pa ietvēm un pa brauktuvi visā tās platumā.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w:t>
            </w:r>
            <w:r w:rsidR="00000000" w:rsidRPr="00000000" w:rsidDel="00000000">
              <w:rPr>
                <w:shd w:fill="#ffffff" w:val="clear"/>
                <w:rtl w:val="0"/>
              </w:rPr>
              <w:t xml:space="preserve">Papildināt noteikumus ar 179.</w:t>
            </w:r>
            <w:r w:rsidR="00000000" w:rsidRPr="00000000" w:rsidDel="00000000">
              <w:rPr>
                <w:shd w:fill="#ffffff" w:val="clear"/>
                <w:vertAlign w:val="superscript"/>
                <w:rtl w:val="0"/>
              </w:rPr>
              <w:t xml:space="preserve">1 </w:t>
            </w:r>
            <w:r w:rsidR="00000000" w:rsidRPr="00000000" w:rsidDel="00000000">
              <w:rPr>
                <w:shd w:fill="#ffffff" w:val="clea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ff" w:val="clear"/>
                <w:rtl w:val="0"/>
              </w:rPr>
              <w:t xml:space="preserve">“179.</w:t>
            </w:r>
            <w:r w:rsidR="00000000" w:rsidRPr="00000000" w:rsidDel="00000000">
              <w:rPr>
                <w:shd w:fill="#ffffff" w:val="clear"/>
                <w:vertAlign w:val="superscript"/>
                <w:rtl w:val="0"/>
              </w:rPr>
              <w:t xml:space="preserve">1</w:t>
            </w:r>
            <w:r w:rsidR="00000000" w:rsidRPr="00000000" w:rsidDel="00000000">
              <w:rPr>
                <w:shd w:fill="#ffffff" w:val="clear"/>
                <w:rtl w:val="0"/>
              </w:rPr>
              <w:t xml:space="preserve">  Transportlīdzekļa sastāvam ar puspiekabi un piekabi ir atļauts piedalīties ceļu satiksmē, ja ir saņemta attiecīgā lielgabarīta un smagsvara pārvadājuma atļauja.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2010. gada 6. aprīļa noteikumi Nr. 343 "Noteikumi par lielgabarīta un smagsvara pārvadājumiem" (turpmāk – noteikumi Nr. 343 nosaka kārtību, kādā piešķir atļauju un kārtību, kādā tiek veikti šie pārvadājumi.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noteikumu Nr. 343 (ar grozījumiem, kas stāsies spēkā 2024.gada 1. janvārī (22-TA-2427)) 13.3. apakšpunkts tostarp noteic, ka Valsts akciju sabiedrība "Latvijas Valsts ceļi" izvērtē atļaujas pieteikumu un, ja nepieciešams, saskaņo pārvadājuma maršrutu, izņemot 37. punktā minēto gadījumu, proti, atļauju izsniedz transportlīdzekļu sastāvam, kas sastāv no mehāniska transportlīdzekļa, puspiekabes un piekabes un kurš pārvadā dalāmu kravu, ja tam ir vismaz astoņas asis, dzinēja jauda ir vismaz 400 ZS vai 290 kW un ja tā parametri nepārsniedz faktisko masu 60 t; garumu 25,25 m; piekabes garumu 7,82 m; puspiekabes garumu 13,6 m. Bet noteikumu Nr. 343 38.6 punkts noteic, ka šo noteikumu 37. punktā minēto atļauju uz noteiktu termiņu var izsniegt tikai pārvadājumiem pa valsts galvenajiem autoceļiem un valsts galveno autoceļu maršrutos ietilpstošajām tranzīta 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Nr. 343 19. punkts noteic, ka maršruta papildu izpēte ir nepieciešama, ja transportlīdzekļa vai transportlīdzekļu sastāva parametri (izņemot šo noteikumu 37. punktā minēto gadījumu) pārsniedz garumu 24 m; platumu 5 m; augstumu 5 m; kopējo masu 52 t; ass slodzi 13 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punkts paredz Ministru kabineta 2015. gada 2. jūnija noteikumu Nr. 274 “Ceļu satiksmes noteikumi” (turpmāk – noteikumi Nr. 274) 180.8. apakšpunktu izteikt jaunā redakcijā, proti, ka aizliegts vilkt vairāk par vienu piekabi, izņemot šo noteikumu 179. punktā un 179.1 minēto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atbilstoši projektā noteiktajam, būs atļauts vilkt divas piekabes – traktortehniku ar pilnu masu virs 4000 kg un transportlīdzekļa sastāvu ar puspiekabi un piekabi, ja ir saņemta attiecīgā lielgabarīta un smagsvara pārvadājuma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saņemtu lielgabarīta pārvadājuma atļauju, tiek ņemti vērā noteikumu Nr. 274 2. pielikumā norādītie parametri.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Ceļu satiksmes likuma 4. panta ceturtajai daļai, Valsts policija saskaņā ar likumu "Par policiju" nodrošina kārtību uz ceļiem, regulē transportlīdzekļu un gājēju kustību, veic satiksmes uzraudzību, kontrolē ceļu stāvokli, kā arī satiksmes organizācijas tehnisko līdzekļu un transportlīdzekļu tehnisko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Valsts policijai, veicot transportlīdzekļu pārvadājumu kontroli (transportlīdzeklim ar divām piekabēm) uz ceļa un tos apturot, būs neiespējami kvalificēt pārkāpumu, ja tam, piemēram, nebūs atļaujas vai arī būs pārkāpts viens no transportlīdzekļa parametriem. Tādējādi Valsts policijai faktiski būs liegta iespēja noteikt, vai atļaujas neesamība ir pārkāpums, kā arī konkrēta soda piemērošana nebūs iespējama, ja nebūs iespējams aprēķināt, piemēram, par cik tonnām tiek pārkāpts pieļaujamais svars vai par cik metriem – garums.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atkārtoti norādām, ka, ja projekta 12. punkts paredz papildināt noteikumus Nr. 274 ar jaunu 179.1 punktu nosakot, ka transportlīdzekļa sastāvam ar divām piekabēm (puspiekabi un piekabi) ir atļauts piedalīties ceļu satiksmē, ja ir saņemta attiecīgā lielgabarīta un smagsvara pārvadājuma atļauja, tad attiecīgi ir papildināms arī noteikumu Nr. 274 2. pielikums, piemēram, ar 1.4.1 apakšpunktu, nosakot, ka "transportlīdzekļu sastāviem, kas sastāv no automobiļa ar divām piekabēm (puspiekabe un piekabe) pieļaujamais garums nepārsniedz 25,25 m. Attiecīgi būtu papildināmi arī citi 2. pielikuma apakšpunkti par kopējo masu, platumu un ass slodzi, kā arī starpasu attālums.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projektā transportlīdzekļa sastāvam ar divām piekabēm (puspiekabi un piekabi) nav paredzēts noteikt atsevišķus gabarītu un svara lielumus, tad tas ir norādāms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punktā ietvertajā noteikumus Nr. 274 179.1 punktā un projekta anotācijā, proti, ka noteikumu Nr. 274 2.pielikumā ietvertie lielumi ir attiecināmi arī uz sastāviem ar divām piekabēm, kas nozīmē, ka visiem šādiem lielgabarīta un smagsvara pārvadājumiem sastāviem būs jāsaņem lielgabarīta vai smagsvara atļauja, lai Valsts policijas amatpersonām, kuras veic kontroli uz ceļa, tas būtu nepārprotami skaidrs, jo pašlaik no projekta tas nav saprotams.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Ministru kabineta 2010. gada 2. februāra noteikumos Nr. 103 "Transportlīdzekļu vadītāja tiesību iegūšanas un atjaunošanas kārtība un vadītāja apliecības izsniegšanas, apmaiņas, atjaunošanas un iznīcināšanas kārtība" pašlaik nav paredzēts saņemt transportlīdzekļa vadītāja tiesības par transportlīdzekļa vadīšanu ar divām piekabēm.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traktortehniku</w:t>
            </w:r>
            <w:r w:rsidR="00000000" w:rsidRPr="00000000" w:rsidDel="00000000">
              <w:rPr>
                <w:rtl w:val="0"/>
              </w:rPr>
              <w:t xml:space="preserve"> jau iepriekš mainot CSN ir vērtēts, ka šādiem transportlīdzekļu sastāviem nevajag īpašas atļaujas un 2.pielikumā ir paredzēts šāda transportlīdzekļu sastāva garums. Savukārt saistībā ar 179.</w:t>
            </w:r>
            <w:r w:rsidR="00000000" w:rsidRPr="00000000" w:rsidDel="00000000">
              <w:rPr>
                <w:vertAlign w:val="superscript"/>
                <w:rtl w:val="0"/>
              </w:rPr>
              <w:t xml:space="preserve">1 </w:t>
            </w:r>
            <w:r w:rsidR="00000000" w:rsidRPr="00000000" w:rsidDel="00000000">
              <w:rPr>
                <w:rtl w:val="0"/>
              </w:rPr>
              <w:t xml:space="preserve">punkta  transportlīdzekļu sastāvu, kas sastāv no mehāniskā transportlīdzekļa ar puspiekabi un piekabi (puspiekabi), kura faktiskā masa nepārsniedz 60 t un 25.25 m tika vērtēts un konstatēts, ka ir nepieciešama īpaša atļauja (lielgabarīta un smagsvara pārvadājuma) un tikai pa valsts galvenajiem autoceļiem un valsts galveno autoceļu maršrutos ietilpstošajām tranzīta ielām un nav nepieciešams iekļaut to 2.pielikumā. Noteikumi Nr. 343 nosaka dažādus parametrus un to kombināciju dažādiem pārvadājumu veidiem un cita starpā, lai norma būtu skaidrāka un nepārprotama arī to, ka citi parametri bez tiem, kas pārsniegti nedrīkst pārsniegt 2. pielikumā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Saistībā ar VP transportlīdzekļu pārvadājumu kontroli </w:t>
            </w:r>
            <w:r w:rsidR="00000000" w:rsidRPr="00000000" w:rsidDel="00000000">
              <w:rPr>
                <w:rtl w:val="0"/>
              </w:rPr>
              <w:t xml:space="preserve">- Transportlīdzekļu sastāvs Eiropas modulārās sistēmas (turpmāk tekstā EMS) ietvaros sastāvēs no pamatā izmantojamiem transportlīdzekļiem un to parametri nedrīkst pārsniegt CSN 2. pielikumā norādītos parametrus, savukārt pārbaudīt EMS sastāvus varēs gadījumos, ja nebūs lielgabarīta un smagsvara pārvadājumu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pret transportlīdzekļu sastāvu, kas atbildīs CSN 2. pielikumā norādītiem parametriem atšķirsies ar otro piekabi (puspiekabi) – tātad ir iespējams sodīt saskaņā ar CSL 66 panta trešo daļu par transportlīdzekļu vilkšanas aizlieguma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pārsniegtu transportlīdzekļa sastāva garumu par 6.5 metri jeb 35%  (18.75-25.25=6.5 m) ((salīdzinot ar CSN 2.pielikumā maksimāli pieļaujamo). Tātad ir iespējams sodīt saskaņā ar Autopārvadājumu likuma 54.panta 22.daļu par autopārvadājuma veikšanu, pārsniedzot noteikto transportlīdzekļa (transportlīdzekļu sastāva) ar kravu vai bez kravas pieļaujamo garumu, sākot no 20 %, piemēro naudas sodu transportlīdzekļa vadītājam no četrpadsmit līdz divdesmit astoņām naudas soda vienībām, bet pārvadātājam — no četrdesmit divām līdz astoņdesmit sešām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transportlīdzekļa sastāva masu – būs piekabināta vēl 1 piekabe, tās pilna masa būs 20 t lielāka un pamats sodam. (ar pārsniegtu pilnu masu 20 t 50% (60-40=20 t)). Tātad ir iespējams sodīt atbilstoši Autopārvadājumu likuma 54.panta trešajai daļai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transportlīdzekļa (transportlīdzekļu sastāva), kura pilnā masa pārsniedz 12 t, pilnās masas vai atļautās faktiskās masas pārsniegšanu, sākot no 20 %, piemēro naudas sodu transportlīdzekļa vadītājam no divdesmit astoņām līdz piecdesmit sešām naudas soda vienībām, bet pārvadātājam — no astoņdesmit sešām līdz simt četrdesmit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atļauta sodīšana arī pēc transportlīdzekļa pilnās masas, kas atbilstoši CSL 1.panta 19.punktam ir izgatavotāja noteikta transportlīdzekļa maksimālā pieļaujamā masa kopā ar vadītāju, pasažieriem un kravu. Vilcējam ar piekabi pilna masa ir vilcēja un piekabes pilnu masu summa, bet vilcējam ar puspiekabi — vilcēja pašmasas, pasažieru masas un puspiekabes pilnas masas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būs atļauja un maršruts atbildīs atļaujā fiksētajam, tad tieši tāpat, kā patreiz pārbaudīs transportlīdzekļu atsevišķos parametrus atbilstoši CSN 2. pielikumā norādītiem parametriem un transportlīdzekļa sastāva parametrus atbilstoši noteikumiem Nr. 343.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2.pielikuma papildināšanu</w:t>
            </w:r>
            <w:r w:rsidR="00000000" w:rsidRPr="00000000" w:rsidDel="00000000">
              <w:rPr>
                <w:rtl w:val="0"/>
              </w:rPr>
              <w:t xml:space="preserve">, paskaidrojam, ka 2.pielikumu nevajag papildināt, MK 343 jau paredz atļauju sistēmu tieši tiem gadījumiem, kad transportlīdzeklis vai tā sastāvs neatbilst 2 pielikumam, MK 343 ir speciālā norma pret CSN.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transportlīdzekļu vadītāju tiesībām</w:t>
            </w:r>
            <w:r w:rsidR="00000000" w:rsidRPr="00000000" w:rsidDel="00000000">
              <w:rPr>
                <w:rtl w:val="0"/>
              </w:rPr>
              <w:t xml:space="preserve">, paskaidrojam, ka MK 103 49.11. apakšpunktā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 kategorija ir vairākposmu transportlīdzeklis vai šo noteikumu 49.10.apakšpunktā minētajām prasībām atbilstoša C kategorijas vilcēja savienojums ar piekabi, kuras garums ir vismaz 7,5 m, vai puspiekabi. Vairākposmu transportlīdzekļa vai transportlīdzekļu sastāva pilna masa ir vismaz 20 000 kg, garums – vismaz 14 m, platums – vismaz 2,40 m un maksimālais ātrums – vismaz 80 km/h. Transportlīdzeklim vai transportlīdzekļu sastāvam jābūt aprīkotam ar tahogrāfu, bremžu pretbloķēšanas sistēmu, mehānisko pārnesumkārbu un kravas telpu ar slēgtu virsbūvi, kuras augstums un platums nav mazāks par transportlīdzekļa kabīnes augstumu un platumu. Transportlīdzekļa vai transportlīdzekļu sastāva faktiskā masa ir vismaz 15 000 kg.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Nr.103 mērķis nav prasmju apgūšanā izmantot maksimāli atļautos gabarītus un masas, turklāt arī tagad nav paredzēta īpaša apmācība vai eksāmens tādu transportlīdzekļu vadītājiem, kuru transportlīdzeklis var piedalīties satiksmē tikai ar lielgabarīta vai smagsvara pārvadājumu atļauju, tātad arī tagad pārsniedz CSN 2.pielikumā noteikto masu un/vai gabarītus.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Papildināt noteikumus ar 200.1.4.</w:t>
            </w:r>
            <w:r w:rsidR="00000000" w:rsidRPr="00000000" w:rsidDel="00000000">
              <w:rPr>
                <w:vertAlign w:val="superscript"/>
                <w:rtl w:val="0"/>
              </w:rPr>
              <w:t xml:space="preserve"> </w:t>
            </w:r>
            <w:r w:rsidR="00000000" w:rsidRPr="00000000" w:rsidDel="00000000">
              <w:rPr>
                <w:rtl w:val="0"/>
              </w:rPr>
              <w:t xml:space="preserve">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ff" w:val="clear"/>
                <w:rtl w:val="0"/>
              </w:rPr>
              <w:t xml:space="preserve">"200.1.4. vietā, kur neveic darbus uz ceļa, nav ierobežojumi ar noteiktu darbības laiku un nav dzīvojamā zona, lai brauktu pa braukšanas joslu visā tās platumā uz ceļiem, kur atļautais braukšanas ātrums nepārsniedz 30 km/h.".</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izvērtēt un precizēt projekta 14.punktā paredzēto Noteikumu 200.1.4.apakšpunktu.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 piedāvātajā redakcijā var radīt konfliktsituācijas starp velosipēdu vadītājiem un pārējiem transportlīdzekļu vadītājiem, kas var rezultēties ceļu satiksmes negadījumos vai sabiedriskās kārtības pārkāpumos.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šobrīd paredz, ka uz ceļiem, kur atļautais braukšanas ātrums nepārsniedz 30 km/h, velosipēda vadītājs var braukt pa braukšanas joslu visā tās platumā. Vēršam uzmanību, ka, piemēram, Baložu pilsētas centrā Rīgas ielā ir noteikts maksimālais braukšanas ātrums 30 km/h. Minētā iela ir Baložu pilsētas maģistrālā iela pa kuru ar diezgan augstu intensitāti brauc gan sabiedriskais transports, gan kravas transports, gan arī transports tranzītā (iela savieno autoceļus A7 un A8). Ja pa šo ielu būs atļauts visā braukšanas joslas platumā braukt ar velosipēdiem, ņemot vērā transportlīdzekļu vadītāju savstarpējās kultūras līmeni, var prognozēt negadījumu skaita pieaugumu šajā ceļa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šo normu vismaz papildināt ar nosacījumu, ka velosipēda vadītājs var braukt pa braukšanas joslu visā tās platumā, nepamatoti netraucējot citu transportlīdzekļu braukšanu.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Izteikt 212.</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ff" w:val="clear"/>
                <w:rtl w:val="0"/>
              </w:rPr>
              <w:t xml:space="preserve">"212.</w:t>
            </w:r>
            <w:r w:rsidR="00000000" w:rsidRPr="00000000" w:rsidDel="00000000">
              <w:rPr>
                <w:shd w:fill="#ffffff" w:val="clear"/>
                <w:vertAlign w:val="superscript"/>
                <w:rtl w:val="0"/>
              </w:rPr>
              <w:t xml:space="preserve">6</w:t>
            </w:r>
            <w:r w:rsidR="00000000" w:rsidRPr="00000000" w:rsidDel="00000000">
              <w:rPr>
                <w:shd w:fill="#ffffff" w:val="clear"/>
                <w:rtl w:val="0"/>
              </w:rPr>
              <w:t xml:space="preserve"> Elektroskrejritenim braukšanas laikā priekšpusē deg baltas gaismas lukturis, bet aizmugurē – sarkanas gaismas lukturis. Elektroskrejriteņa vadītājam ir jābūt galvā uzvilktai aizsprādzētai aizsargķiverei. Ieteicams elektroskrejriteņa vadītājam būt tērptam augstas redzamības apģērbā ar gaismu atstarojošiem elementiem.".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(LMA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Mobilitātes asociācija (turpmāk – Asociācija) iebilst pret Ceļu satiksmes noteikumu grozījumos iekļauto prasību visiem elektroskrejriteņu vadītājiem brauciena laikā lietot aizsargķiveri. Asociācija atbalsta un aicina virzīt grozījumu projektā sākotnēji ietverto prasību par obligātu ķiveres lietošanu elektroskrejriteņu vadītājiem vecumā no 14 līdz 17 gadu vecumam, savukārt no 18 gadu vecuma ķiveru lietošana būtu ieteicama, tomēr brīvprātīga.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nostāju pamato arī mazaizsargāto satiksmes dalībnieku savainojumu statistika (CSDD dati), kas liecina, ka 2022.gadā no visiem oficiāli 235 reģistrētajiem skrejriteņu savainojumiem Rīgā tikai 6 klasificējami kā smagi, tai pat laikā riteņbraucēju vidū smagi savainoto īpatsvars ir pat lielāks – 7 no 192 savainotajiem.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ņemt vērā, ka 2022.gadā skrejriteņus Rīgā izmantoja vairāk kā 200 tūkstoši Rīgas iedzīvotāju un šogad lietotāju skaits varētu pārsniegt 250 tūkstošus.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atbalsta nepieciešamību pilnveidot dažādu mikromobilitātes rīku, tajā skaitā elektroskrejriteņu, lietošanas regulējumu ar mērķi paaugstināt satiksmes un tās dalībnieku drošību. Vienlaikus, veicot regulējuma pilnveidošanu, aicinām saglabāt vienlīdzīgu attieksmi pret visiem mikromobilitātes transportlīdzekļiem, kā arī pret šo transportlīdzekļu koplietošanas pakalpojumu sniedzējiem. Ķiveru lietošana ir brīvprātīga pilngadību sasniegušiem velosipēdistiem, tāpēc, ievērojot vienlīdzības principu, atbalstām šādas pašas prasības ieviešanu arī attiecībā uz pilngadību sasniegušiem elektroskrejriteņu lietotājiem.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grozījumi nenosaka, vai elektroskrejriteņu koplietošanas pakalpojuma operatoriem tiek uzlikts pienākums nodrošināt ķiveres pakalpojuma lietotājiem vai par to ir atbildīgs elektroskrejriteņa vadītājs. Ja ķiveres jānodrošina koplietošanas pakalpojuma sniedzējiem, tad papildus biznesam kritiskus izaicinājumus radītu jautājumi, kas saistīti ar higiēnas prasību ievērošanu, kā arī pastāv koplietošanas ķiveru bojāšanas vai zādzības risks. Šie apstākļi var ierobežot pakalpojuma pieejamību un līdz ar to samazināt mikromobilitātes risinājumu izmantošanu pilsētu satiksmē. Pat, ja operatori spētu atrast veidu, kā nodrošināt ķiveres esamību, nav nekādu kontroles rīku, kā pārliecināties, ka ķivere tiešām tiks izmantota.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Ķiveru obligāta lietošana visām vecumu grupām rada nepieciešamību nodrošināt šīs prasības ievērošanas kontroli un pilnveidot kontroles mehānismu, līdz ar to radītu papildu slodzi kontroles institūcijām, kurām jau šobrīd trūkst resursu daudz nopietnāku pārkāpumu kontrolei - kā braukšana dzērumā un divatā uz viena skrejriteņa, kas ir pamatcēlonis lielākajai daļai negadījumu ar savainojumiem.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Obligāta ķiveres lietošana elektroskrejriteņu vadītājiem vecumā no 14 līdz 17 gadu vecumam, savukārt no 18 gadu vecuma ķiveru lietošana ir ieteicama, tomēr brīvprātīga.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normas izpildei tiks noteikts pārejas periods līdz 2024.gada 1.janvārim. Vienlaikus arī iebildumā izteiktie jautājumi tiks pārrunāti tikšanās laikā starp asociāciju un Satiksmes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Papildināt noteikumus ar 200.7. un 200.8.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 braukt pa pretējā virziena brauktuvi;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210.8. braukt pa velojoslu pretēji kustības virzienam blakus esošajā brauktuvē, izņemot gadījumus, kad velojosla atdalīta no pārējās brauktuves ar 920. vai 925. ceļu apzīmējumu vai ar paaugstinātu apmali un attiecīgais braukšanas virziens ir norādīts ar 937. ceļa apzīmējumu.".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 punktā paredzēto noteikumu papildināšanu ar 200.7. un 200.8. apakšpunktu nepieciešams izvērtēt un precizēt. Vēršam uzmanību, ka šobrīd noteikumu 200. punktā ir trīs apakšpunkti. Ievērojot minēto, grozījumu normas noteikumos ir jāparedz secīgi ar korektu numerāciju. Vienlaikus norādām, ka atbilstoši normatīvo aktu izstrādes juridiskās tehnikas prasībām projektā grozījumu normas jāveido secīgi, proti, grozījums noteikumu 205. punktā (projekta 16. punkts) nevar būt pirms grozījuma noteikumu 200.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Izteikt Noteikumu 212.</w:t>
            </w:r>
            <w:r w:rsidR="00000000" w:rsidRPr="00000000" w:rsidDel="00000000">
              <w:rPr>
                <w:vertAlign w:val="superscript"/>
                <w:rtl w:val="0"/>
              </w:rPr>
              <w:t xml:space="preserve">2 </w:t>
            </w:r>
            <w:r w:rsidR="00000000" w:rsidRPr="00000000" w:rsidDel="00000000">
              <w:rPr>
                <w:rtl w:val="0"/>
              </w:rPr>
              <w:t xml:space="preserve">punkta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2 </w:t>
            </w:r>
            <w:r w:rsidR="00000000" w:rsidRPr="00000000" w:rsidDel="00000000">
              <w:rPr>
                <w:rtl w:val="0"/>
              </w:rPr>
              <w:t xml:space="preserve">Elektroskrejriteņu vadītājiem jābrauc ar ātrumu, kas neapdraud ceļu satiksmes drošību, bet nepārsniedzot 25 km/h.””</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konceptuāli atbalsta priekšlikumu Noteikumos  paredzēt, ka elektroskrejriteņu maksimālais braukšanas ātrums nedrīkst pārsniegt 25 km/h.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piedāvātais risinājums jāskaņo ar Noteikumu 9.nodaļā noteikto. Piemēram, Noteikumu 101.punktā šobrīd noteikts, ka apdzīvotās vietās </w:t>
            </w:r>
            <w:r w:rsidR="00000000" w:rsidRPr="00000000" w:rsidDel="00000000">
              <w:rPr>
                <w:u w:val="single"/>
                <w:rtl w:val="0"/>
              </w:rPr>
              <w:t xml:space="preserve">visu</w:t>
            </w:r>
            <w:r w:rsidR="00000000" w:rsidRPr="00000000" w:rsidDel="00000000">
              <w:rPr>
                <w:rtl w:val="0"/>
              </w:rPr>
              <w:t xml:space="preserve"> transportlīdzekļu braukšanas ātrums nedrīkst pārsniegt 50 km/h, bet dzīvojamās zonās, daudzdzīvokļu namu pagalmos, degvielas uzpildes staciju un stāvvietu teritorijās – 20 km/h.  Turklāt Noteikumu 104.1.apakšpunkts paredz, ka transportlīdzekļa vadītājam aizliegts pārsniegt transportlīdzekļa izgatavotāja noteikto maksimālo braukšanas ātrumu.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iespēju elektroskrejriteņu maksimālo braukšanas ātrumu noteikt Noteikumu 9.nodaļā, nevis noteikumu 212.</w:t>
            </w:r>
            <w:r w:rsidR="00000000" w:rsidRPr="00000000" w:rsidDel="00000000">
              <w:rPr>
                <w:vertAlign w:val="superscript"/>
                <w:rtl w:val="0"/>
              </w:rPr>
              <w:t xml:space="preserve">2</w:t>
            </w:r>
            <w:r w:rsidR="00000000" w:rsidRPr="00000000" w:rsidDel="00000000">
              <w:rPr>
                <w:rtl w:val="0"/>
              </w:rPr>
              <w:t xml:space="preserve"> punktā,  un attiecīgi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no tā svītrojot tekstu šādā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“212.2 Elektroskrejriteņu vadītājiem jābrauc ar ātrumu, kas neapdraud ceļu satiksmes drošību, bet nepārsniedzot 25 km/h.””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103.9.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"103.9. elektroskrejriteņiem - 25 km/h".”</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212.</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6</w:t>
            </w:r>
            <w:r w:rsidR="00000000" w:rsidRPr="00000000" w:rsidDel="00000000">
              <w:rPr>
                <w:rtl w:val="0"/>
              </w:rPr>
              <w:t xml:space="preserve"> Elektroskrejritenim braukšanas laikā priekšpusē deg baltas gaismas lukturis, bet aizmugurē – sarkanas gaismas lukturis. Elektroskrejriteņa vadītājam ir jābūt galvā uzvilktai aizsprādzētai aizsargķiverei. Ieteicams elektroskrejriteņa vadītājam būt tērptam augstas redzamības apģērbā ar gaismu atstarojošiem elementiem.".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19. punktā paredzēto noteikumu 212.</w:t>
            </w:r>
            <w:r w:rsidR="00000000" w:rsidRPr="00000000" w:rsidDel="00000000">
              <w:rPr>
                <w:vertAlign w:val="superscript"/>
                <w:rtl w:val="0"/>
              </w:rPr>
              <w:t xml:space="preserve">6</w:t>
            </w:r>
            <w:r w:rsidR="00000000" w:rsidRPr="00000000" w:rsidDel="00000000">
              <w:rPr>
                <w:rtl w:val="0"/>
              </w:rPr>
              <w:t xml:space="preserve"> punkta trešo teikumu nepieciešams izvērtēt un precizēt. Vēršam uzmanību, ka vārds “ieteicams” norāda uz to, ka šajā teikumā esošais regulējums tā adresātam nav saistošs. Tādējādi elektroskrejriteņa vadītājam ir tiesības nepildīt normā paredzētos nosacījumus gan par apģērbu, gan par atstarojošiem elementiem. Tieslietu ministrijas ieskatā šāda norma būs pretrunā ar ceļu satiksmes drošību. Ievērojot minēto, piedāvājam noteikumu 212.</w:t>
            </w:r>
            <w:r w:rsidR="00000000" w:rsidRPr="00000000" w:rsidDel="00000000">
              <w:rPr>
                <w:vertAlign w:val="superscript"/>
                <w:rtl w:val="0"/>
              </w:rPr>
              <w:t xml:space="preserve">6</w:t>
            </w:r>
            <w:r w:rsidR="00000000" w:rsidRPr="00000000" w:rsidDel="00000000">
              <w:rPr>
                <w:rtl w:val="0"/>
              </w:rPr>
              <w:t xml:space="preserve"> punkta trešo teikumu izteikt līdzīgi, kā, piemēram, ir izteikts noteikumu 10. punkts par pienākumiem gājējiem vai noteikumu 209. punkts par pienākumiem velosipēdu vadītājiem.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28.punkta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w:t>
            </w:r>
            <w:r w:rsidR="00000000" w:rsidRPr="00000000" w:rsidDel="00000000">
              <w:rPr>
                <w:shd w:fill="#ffffff" w:val="clear"/>
                <w:rtl w:val="0"/>
              </w:rPr>
              <w:t xml:space="preserve">Papildināt noteikumus ar 179.</w:t>
            </w:r>
            <w:r w:rsidR="00000000" w:rsidRPr="00000000" w:rsidDel="00000000">
              <w:rPr>
                <w:shd w:fill="#ffffff" w:val="clear"/>
                <w:vertAlign w:val="superscript"/>
                <w:rtl w:val="0"/>
              </w:rPr>
              <w:t xml:space="preserve">1 </w:t>
            </w:r>
            <w:r w:rsidR="00000000" w:rsidRPr="00000000" w:rsidDel="00000000">
              <w:rPr>
                <w:shd w:fill="#ffffff" w:val="clea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ff" w:val="clear"/>
                <w:rtl w:val="0"/>
              </w:rPr>
              <w:t xml:space="preserve">“179.</w:t>
            </w:r>
            <w:r w:rsidR="00000000" w:rsidRPr="00000000" w:rsidDel="00000000">
              <w:rPr>
                <w:shd w:fill="#ffffff" w:val="clear"/>
                <w:vertAlign w:val="superscript"/>
                <w:rtl w:val="0"/>
              </w:rPr>
              <w:t xml:space="preserve">1</w:t>
            </w:r>
            <w:r w:rsidR="00000000" w:rsidRPr="00000000" w:rsidDel="00000000">
              <w:rPr>
                <w:shd w:fill="#ffffff" w:val="clear"/>
                <w:rtl w:val="0"/>
              </w:rPr>
              <w:t xml:space="preserve">  Transportlīdzekļa sastāvam, kurš sastāv no mehāniskā transportlīdzekļa ar puspiekabi un piekabi (puspiekabi) ir atļauts piedalīties ceļu satiksmē, ja normatīvos aktos noteiktā kārtībā </w:t>
            </w:r>
            <w:r w:rsidR="00000000" w:rsidRPr="00000000" w:rsidDel="00000000">
              <w:rPr>
                <w:rtl w:val="0"/>
              </w:rPr>
              <w:t xml:space="preserve">ir saņemta </w:t>
            </w:r>
            <w:r w:rsidR="00000000" w:rsidRPr="00000000" w:rsidDel="00000000">
              <w:rPr>
                <w:shd w:fill="#ffffff" w:val="clear"/>
                <w:rtl w:val="0"/>
              </w:rPr>
              <w:t xml:space="preserve">attiecīga lielgabarīta un smagsvara pārvadājuma atļauja.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projekta 179.</w:t>
            </w:r>
            <w:r w:rsidR="00000000" w:rsidRPr="00000000" w:rsidDel="00000000">
              <w:rPr>
                <w:vertAlign w:val="superscript"/>
                <w:rtl w:val="0"/>
              </w:rPr>
              <w:t xml:space="preserve">1</w:t>
            </w:r>
            <w:r w:rsidR="00000000" w:rsidRPr="00000000" w:rsidDel="00000000">
              <w:rPr>
                <w:rtl w:val="0"/>
              </w:rPr>
              <w:t xml:space="preserve"> punkts būtībā paredz to, ka normatīvajos aktos noteiktā kārtībā saņemot lielgabarīta un smagsvara pārvadājumu atļauju, ar transportlīdzekli, veicot kravas pārvadājumus, var vilkt vairāk nekā vienu piekabi (puspiekabi).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2010. gada 6.aprīļa noteikumu Nr.343 "Noteikumi par lielgabarīta un smagsvara pārvadājumiem" 37.punktu (redakcijā, kas stāsies spēkā 2024.gada 1.janvārī)  atļauju izsniedz </w:t>
            </w:r>
            <w:r w:rsidR="00000000" w:rsidRPr="00000000" w:rsidDel="00000000">
              <w:rPr>
                <w:u w:val="single"/>
                <w:rtl w:val="0"/>
              </w:rPr>
              <w:t xml:space="preserve">transportlīdzekļu sastāvam, kas sastāv no mehāniska transportlīdzekļa, puspiekabes un piekabes </w:t>
            </w:r>
            <w:r w:rsidR="00000000" w:rsidRPr="00000000" w:rsidDel="00000000">
              <w:rPr>
                <w:rtl w:val="0"/>
              </w:rPr>
              <w:t xml:space="preserve">un kurš pārvadā dalāmu kravu, ja tam ir vismaz astoņas asis, dzinēja jauda ir vismaz 400 ZS vai 290 kW un ja tā parametri nepārsniedz: 37.1. faktisko masu 60 t; 37.2. garumu 25,25 m; 37.3. piekabes garumu 7,82 m; 37.4. puspiekabes garumu 13,6 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Ceļu satiksmes noteikumu un Lielgabarīta un smagsvara pārvadājumu noteikumu saskaņotību, Iekšlietu ministrijas ieskatā projekta 179.</w:t>
            </w:r>
            <w:r w:rsidR="00000000" w:rsidRPr="00000000" w:rsidDel="00000000">
              <w:rPr>
                <w:vertAlign w:val="superscript"/>
                <w:rtl w:val="0"/>
              </w:rPr>
              <w:t xml:space="preserve">1</w:t>
            </w:r>
            <w:r w:rsidR="00000000" w:rsidRPr="00000000" w:rsidDel="00000000">
              <w:rPr>
                <w:rtl w:val="0"/>
              </w:rPr>
              <w:t xml:space="preserve"> punktā nepieciešams aizstāt vārdus "kurš sastāv no mehāniskā transportlīdzekļa ar puspiekabi un piekabi (puspiekabi)" ar vārdiem "kas sastāv no mehāniska transportlīdzekļa, puspiekabes un piekabes". Turklāt šiem grozījumiem regulējumā būtu jāstājas spēkā vienlaikus, proti, 2024.gada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Ceļu satiksmes noteikumu 2.28.apakšpunktā dots termina "transportlīdzekļu sastāvs" skaidrojums – mehāniskais transportlīdzeklis, kas savienots ar piekabi (puspiekabi), kā arī savienots velkošais un velkamais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minētā termina skaidrojums jau šobrīd neatbilst Ceļu satiksmes noteikumu 2.pielikuma 1.9. apakšpunktam, kurā minēts transportlīdzekļu sastāvs, kas sastāv no traktortehnikas </w:t>
            </w:r>
            <w:r w:rsidR="00000000" w:rsidRPr="00000000" w:rsidDel="00000000">
              <w:rPr>
                <w:u w:val="single"/>
                <w:rtl w:val="0"/>
              </w:rPr>
              <w:t xml:space="preserve">un divām </w:t>
            </w:r>
            <w:r w:rsidR="00000000" w:rsidRPr="00000000" w:rsidDel="00000000">
              <w:rPr>
                <w:rtl w:val="0"/>
              </w:rPr>
              <w:t xml:space="preserve">piekabēm un neatbildīs arī piedāvātajam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termins "transportlīdzekļu sastāvs" atbilstoši šādam skaidrojumam tiek lietots ne tikai Ceļu satiksmes noteikumos, bet arī citos normatīvajos, piemēram, Autopārvadājumu likumā, kurā paredzēta administratīvā atbildība par kravu pārvadāšanas noteikumu pārkāpumiem, aicinām sagatavot grozījumus minētā termina skaidrojumā.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179.</w:t>
            </w:r>
            <w:r w:rsidR="00000000" w:rsidRPr="00000000" w:rsidDel="00000000">
              <w:rPr>
                <w:vertAlign w:val="superscript"/>
                <w:rtl w:val="0"/>
              </w:rPr>
              <w:t xml:space="preserve">1 </w:t>
            </w:r>
            <w:r w:rsidR="00000000" w:rsidRPr="00000000" w:rsidDel="00000000">
              <w:rPr>
                <w:rtl w:val="0"/>
              </w:rPr>
              <w:t xml:space="preserve">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r w:rsidR="00000000" w:rsidRPr="00000000" w:rsidDel="00000000">
              <w:rPr>
                <w:vertAlign w:val="superscript"/>
                <w:rtl w:val="0"/>
              </w:rPr>
              <w:t xml:space="preserve">1</w:t>
            </w:r>
            <w:r w:rsidR="00000000" w:rsidRPr="00000000" w:rsidDel="00000000">
              <w:rPr>
                <w:rtl w:val="0"/>
              </w:rPr>
              <w:t xml:space="preserve">  Transportlīdzekļa sastāvam, kas sastāv no mehāniska transportlīdzekļa, puspiekabes un piekabes ir atļauts piedalīties ceļu satiksmē, ja normatīvos aktos noteiktā kārtībā ir saņemta attiecīga lielgabarīta un smagsvara pārvadājuma atļauja."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2.28. apakšpunktā ir skaidrojums par vienkāršāko transportlīdzekļu savienojumu, kas nedefinēts kā sastāvs, savukārt citās CSN normās, ieskaitot grozījumu 179. un 179.</w:t>
            </w:r>
            <w:r w:rsidR="00000000" w:rsidRPr="00000000" w:rsidDel="00000000">
              <w:rPr>
                <w:vertAlign w:val="superscript"/>
                <w:rtl w:val="0"/>
              </w:rPr>
              <w:t xml:space="preserve">1 </w:t>
            </w:r>
            <w:r w:rsidR="00000000" w:rsidRPr="00000000" w:rsidDel="00000000">
              <w:rPr>
                <w:rtl w:val="0"/>
              </w:rPr>
              <w:t xml:space="preserve">punktā, ir aprakstīti, kādi var būt transportlīdzekļu sastāvi speciālos gadījumos, proti, arī ar divām piekabēm vai piekabi un puspiekabi. Tā kā tas ir atrunāts ārējos normatīvos aktos, tad nav pretrunu ar minēto Autopārvadājumu likumu, kur paredzēta administratīvā atbildība. Kā arī definīcijā piekabju skaits konkrēti nav noteikts, proti, mehāniskais transportlīdzeklis var būt savienots tikai ar vienu piekabi, arī divas vai pat trīs piekabes savstarpēji savienotas atbilst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Izteikt 201.punkta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Bērniem līdz 17 gadiem, braucot ar velosipēdu, galvā jābūt aizsprādzētai aizsargķiverei."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(Apvienība "Pilsēta cilvēkiem"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Apvienība “Pilsēta cilvēkiem” iebilst arī pret šobrīd esošo tiesību akta projekta “Grozījumi Ministru kabineta 2015. gada 2. jūnija noteikumos Nr. 279 “Ceļu satiksmes noteikumi” (22-TA-2915)” redakciju attiecībā uz paredzētajiem grozījumiem 201. punktā, saskaņā ar kuriem obligātas aizsargķiveres, braucot ar velosipēdu, paredzētas bērniem līdz 17 gadiem (šobrīd spēkā esošā redakcijā vecums, līdz kuram velobraucējiem obligāti jāizmanto aizsargķiveres, noteikts līdz 12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grozījumu pieņemšana padarītu šīs par vienām no stingrākajām prasībām Eiropas Savienībā, un šie grozījumi (šobrīd piedāvātajā redakcijā) tiek piedāvāti bez diskusijām un nopietnas analīzes par ieguvumiem un ietekmi uz bērnu veselību, tai skaitā iespējamā velobraucēju skaita samazinājuma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anotācijā, pamatojot minēto prasību, teikts: “Vērtējot ceļu satiksmes negadījumu statistiku, kuros iesaistīti velosipēdisti, secināms, ka nepieciešamas papildus drošības prasības velosipēdu lietotājiem - 2022.gada sešos mēnešos ceļu satiksmes negadījumos cietušas 189 personas un 2023.gada - 231. 2022.ghadā bojāgājušas 12, bet 2023.gadā - 9 personas. Ņemot vērā minēto, Ceļu satiksmes noteikumos noteikta prasība bērniem līdz 17 gadu vecumam, braucot ar velosipēdu, galvā jābūt aizsprādzētai aizsargķiverei.". Vienlaikus nav informācijas, cik no šiem negadījumiem bijuši ar galvas traumām (un cik no tām būtu bijušas novēršamas ar ķiveri), cik no tiem cietuši bērni. Tāpat nav saprotams, kādēļ tieši 17 gadu vecums noteikts kā robeža, nevis, piemēram, 16, 15 vai 14 gadu vecums. Ņemot vērā minēto un to, ka vēl pirms gandrīz divām nedēļām Satiksmes ministrija publiski izziņoja par plānu noteikt ķiveru obligātumu visiem velobraucējiem, tas liek domāt, ka šie grozījumi ir redzami nepārdomāti, un to pamatojums nebalstās empīriskos datos.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tam, ka, lai arī ķiveres samazina risku gūt smagas galvas traumas ceļu satiksmes negadījumā, ārvalstīs veiktie pētījumi rāda, ka prasība obligāti izmantot ķiveri sabiedrības veselību ietekmē negatīvi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obligāta ķiveres lietošana dažādu praktisku apsvērumu dēļ attur cilvēkus no braukšanas ar velosipēdu, kā tas bija, piemēram, Austrālijas štatā Jaundienvidvelsā, kur pēc prasības izmantot ķiveres ieviešanas bērnu, kas brauc ar velosipēdu, skaits samazinājies par 36 % (https://roads-waterways.transport.nsw.gov.au/documents/roads/bicycles/bicycles-law-compliance-among-cyclists-nsw-1992.pdf);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velobraucēju skaita samazinājums negatīvi ietekmē palikušo velobraucēju drošību (https://injuryprevention.bmj.com/content/9/3/205);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ieguvumi veselībai no braukšanas ar velosipēdu ir desmitiem reižu lielāki par riskiem (https://www.cyclehelmets.org/1015.html), līdz ar to, pat nedaudz samazinoties velobraucēju skaitam, negatīvas sekas sabiedrības veselībai no fizisko aktivitāšu trūkuma būs daudz lielākas par to ieguvumu, ko palikušajiem velobraucējiem dod ķiveres.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ka gadījumā, ja bērni pusaudžu vecumā tiks atturēti doties uz skolu, pulciņiem, treniņiem u.c. ar velosipēdu, bet viņus vedīs vecāki ar automašīnām, tas negatīvi ietekmēs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pieņemt jebkādus lēmumus par prasību izmantot ķiveri, nepieciešams veikt dažādu vecuma grupu bērnu aptauju, lai noskaidrotu, kā jauns regulējums ietekmēs to, cik daudz viņi brauc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iespējams, daudzi bērni šobrīd neizmanto ķiveri tādēļ, ka skolā, pulciņos u.c. nav drošas vietas, kur to var atstāt tā, lai tā netiku nozagta vai sabojāta. Šī jautājuma sakārtošana, loti iespējams, būtiski palielinātu ķiveru izmantošanu bērnu vidū arī bez obligātās prasības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saglabāt bērniem pēc 12 gadu vecuma brīvu izvēli lietot vai nelietot ķiveri, braucot ar velosipēdu, bet velobraucēju drošību veicināt ar efektīvākām metodēm, kuras sevi ir pierādījušas ārvalstīs. Tāpat iepriekš minēto iemeslu dēļ ir izvērtējams, vai esošajā Ministru kabineta 2015. gada 2. jūnija noteikumu Nr. 279 “Ceļu satiksmes noteikumi” 201. punkta redakcijā ietvertā prasība bērniem līdz 12 gadu vecumam obligāti lietot ķiveri ir saglabājama.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datiem par bērnu gūtajām traumām, tostarp galvas traumām, braucot ar velosipēdu. Noteikumu projekts precizēts, nosakot, ka aizsargķiveres, braucot ar velosipēdu, jālieto bērniem, kas jaunāki par 16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pētījumi saistībā ar velosipēdistu traumām, tostarp, galvas traumām, ceļu satiksmes negadījumu analīzi, aizsargķiveru lietošanas nepieciešamības izvērtējumu un ārstēšanās izdevumu apjomu ir veikti kopš 1980.gadiem daudzās valstīs, tostarp, Eiropas Savienībā, Austrālijā un Amerikas Savienotajās valstīs, kuri ir plašā mērā publiski pieejami un kuros iegūtie secinājumi un atziņas ir pielietojamas arī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līdz šim apjomīgākā pētījuma par velosipēdistu traumām un aizsargķiveru lietošanu </w:t>
            </w:r>
            <w:r w:rsidR="00000000" w:rsidRPr="00000000" w:rsidDel="00000000">
              <w:rPr>
                <w:i w:val="1"/>
                <w:rtl w:val="0"/>
              </w:rPr>
              <w:t xml:space="preserve">(Bicycle injuries and helmet use: a systematic review and meta-analysis, </w:t>
            </w:r>
            <w:r w:rsidR="00000000" w:rsidRPr="00000000" w:rsidDel="00000000">
              <w:rPr>
                <w:rtl w:val="0"/>
              </w:rPr>
              <w:t xml:space="preserve">J. Olivier, P. Creighton, 2016) rezultātiem, aizsargķiveru lietošana samazina nopietnas galvas traumas iegūšanu par 70% un sejas traumas par 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Savienībā 13 valstīs ir prasība par ķiveru obligātu lietošanu dažāda vecuma bērniem, tai skaitā Igaunijā līdz 16 un Lietuvā līdz 18 gadu vecumam.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obligāta ķiveru valkāšana dažāda vecuma bērniem, kas brauc ar velosipēdu, ir noteikta 21 Amerikas Savienoto valstu štatā un Vašingtonā. Šāda prasība aizsargķiveru valkāšanai noteikta jau kopš 1990.gadiem, pamatojoties uz statistikas datiem un pētījumu rezultātā iegūtiem secinājumiem.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Austrāliju, kura bija pirmā valsts, kas 1992.gadā ieviesa prasību par obligātu ķiveru valkāšanu visa vecuma velosipēdistiem, jānorāda, ka tās lielākā riteņbraucēju organizācija "The Bicycle Network" ir izteikusi priekšlikumu pārskatīt šo prasību tikai velosipēdistiem, kas vecāki par 17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Izteikt 201.punkta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Bērniem līdz 17 gadiem, braucot ar velosipēdu, galvā jābūt aizsprādzētai aizsargķiverei."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(Apvienība "Pilsēta cilvēkiem"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Apvienība “Pilsēta cilvēkiem” iebilst arī pret šobrīd esošo tiesību akta projekta “Grozījumi Ministru kabineta 2015. gada 2. jūnija noteikumos Nr. 279 “Ceļu satiksmes noteikumi” (22-TA-2915)” redakciju attiecībā uz paredzētajiem grozījumiem 201. punktā, saskaņā ar kuriem obligātas aizsargķiveres, braucot ar velosipēdu, paredzētas bērniem līdz 17 gadiem (šobrīd spēkā esošā redakcijā vecums, līdz kuram velobraucējiem obligāti jāizmanto aizsargķiveres, noteikts līdz 12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grozījumu pieņemšana padarītu šīs par vienām no stingrākajām prasībām Eiropas Savienībā, un šie grozījumi (šobrīd piedāvātajā redakcijā) tiek piedāvāti bez diskusijām un nopietnas analīzes par ieguvumiem un ietekmi uz bērnu veselību, tai skaitā iespējamā velobraucēju skaita samazinājuma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anotācijā, pamatojot minēto prasību, teikts: “Vērtējot ceļu satiksmes negadījumu statistiku, kuros iesaistīti velosipēdisti, secināms, ka nepieciešamas papildus drošības prasības velosipēdu lietotājiem - 2022.gada sešos mēnešos ceļu satiksmes negadījumos cietušas 189 personas un 2023.gada - 231. 2022.ghadā bojāgājušas 12, bet 2023.gadā - 9 personas. Ņemot vērā minēto, Ceļu satiksmes noteikumos noteikta prasība bērniem līdz 17 gadu vecumam, braucot ar velosipēdu, galvā jābūt aizsprādzētai aizsargķiverei.". Vienlaikus nav informācijas, cik no šiem negadījumiem bijuši ar galvas traumām (un cik no tām būtu bijušas novēršamas ar ķiveri), cik no tiem cietuši bērni. Tāpat nav saprotams, kādēļ tieši 17 gadu vecums noteikts kā robeža, nevis, piemēram, 16, 15 vai 14 gadu vecums. Ņemot vērā minēto un to, ka vēl pirms gandrīz divām nedēļām Satiksmes ministrija publiski izziņoja par plānu noteikt ķiveru obligātumu visiem velobraucējiem, tas liek domāt, ka šie grozījumi ir redzami nepārdomāti, un to pamatojums nebalstās empīriskos datos.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tam, ka, lai arī ķiveres samazina risku gūt smagas galvas traumas ceļu satiksmes negadījumā, ārvalstīs veiktie pētījumi rāda, ka prasība obligāti izmantot ķiveri sabiedrības veselību ietekmē negatīvi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obligāta ķiveres lietošana dažādu praktisku apsvērumu dēļ attur cilvēkus no braukšanas ar velosipēdu, kā tas bija, piemēram, Austrālijas štatā Jaundienvidvelsā, kur pēc prasības izmantot ķiveres ieviešanas bērnu, kas brauc ar velosipēdu, skaits samazinājies par 36 % (https://roads-waterways.transport.nsw.gov.au/documents/roads/bicycles/bicycles-law-compliance-among-cyclists-nsw-1992.pdf);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velobraucēju skaita samazinājums negatīvi ietekmē palikušo velobraucēju drošību (https://injuryprevention.bmj.com/content/9/3/205);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ieguvumi veselībai no braukšanas ar velosipēdu ir desmitiem reižu lielāki par riskiem (https://www.cyclehelmets.org/1015.html), līdz ar to, pat nedaudz samazinoties velobraucēju skaitam, negatīvas sekas sabiedrības veselībai no fizisko aktivitāšu trūkuma būs daudz lielākas par to ieguvumu, ko palikušajiem velobraucējiem dod ķiveres.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ka gadījumā, ja bērni pusaudžu vecumā tiks atturēti doties uz skolu, pulciņiem, treniņiem u.c. ar velosipēdu, bet viņus vedīs vecāki ar automašīnām, tas negatīvi ietekmēs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pieņemt jebkādus lēmumus par prasību izmantot ķiveri, nepieciešams veikt dažādu vecuma grupu bērnu aptauju, lai noskaidrotu, kā jauns regulējums ietekmēs to, cik daudz viņi brauc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iespējams, daudzi bērni šobrīd neizmanto ķiveri tādēļ, ka skolā, pulciņos u.c. nav drošas vietas, kur to var atstāt tā, lai tā netiku nozagta vai sabojāta. Šī jautājuma sakārtošana, loti iespējams, būtiski palielinātu ķiveru izmantošanu bērnu vidū arī bez obligātās prasības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saglabāt bērniem pēc 12 gadu vecuma brīvu izvēli lietot vai nelietot ķiveri, braucot ar velosipēdu, bet velobraucēju drošību veicināt ar efektīvākām metodēm, kuras sevi ir pierādījušas ārvalstīs. Tāpat iepriekš minēto iemeslu dēļ ir izvērtējams, vai esošajā Ministru kabineta 2015. gada 2. jūnija noteikumu Nr. 279 “Ceļu satiksmes noteikumi” 201. punkta redakcijā ietvertā prasība bērniem līdz 12 gadu vecumam obligāti lietot ķiveri ir saglabājama.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datiem par bērnu gūtajām traumām, tostarp galvas traumām, braucot ar velosipēdu. Noteikumu projekts precizēts, nosakot, ka aizsargķiveres, braucot ar velosipēdu, jālieto bērniem, kas jaunāki par 16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pētījumi saistībā ar velosipēdistu traumām, tostarp, galvas traumām, ceļu satiksmes negadījumu analīzi, aizsargķiveru lietošanas nepieciešamības izvērtējumu un ārstēšanās izdevumu apjomu ir veikti kopš 1980.gadiem daudzās valstīs, tostarp, Eiropas Savienībā, Austrālijā un Amerikas Savienotajās valstīs, kuri ir plašā mērā publiski pieejami un kuros iegūtie secinājumi un atziņas ir pielietojamas arī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līdz šim apjomīgākā pētījuma par velosipēdistu traumām un aizsargķiveru lietošanu (Bicycle injuries and helmet use: a systematic review and meta-analysis, J. Olivier, P. Creighton, 2016) rezultātiem, aizsargķiveru lietošana samazina nopietnas galvas traumas iegūšanu par 70% un sejas traumas par 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Savienībā 13 valstīs ir prasība par ķiveru obligātu lietošanu dažāda vecuma bērniem, tai skaitā Igaunijā līdz 16 un Lietuvā līdz 18 gadu vecumam.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obligāta ķiveru valkāšana dažāda vecuma bērniem, kas brauc ar velosipēdu, ir noteikta 21 Amerikas Savienoto valstu štatā un Vašingtonā. Šāda prasība aizsargķiveru valkāšanai noteikta jau kopš 1990.gadiem, pamatojoties uz statistikas datiem un pētījumu rezultātā iegūtiem secinājumiem.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prasība velosipēdu vadītājiem lietot aizsargķiveri līdz 17 gadu vecumam būtu salīdzinoši stingrāka kā citās ES valstīs, šāds regulējums nebūt nav unikāls un Latvijas situācijā tas ir pamatots. Norādāms, ka Somijā velosipēdu vadītājiem aizsargķiveru lietošana ir obligāta, tāpat neatkarīgi no velosipēda vadītāja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Austrāliju, kura bija pirmā valsts, kas 1992.gadā ieviesa prasību par obligātu ķiveru valkāšanu visa vecuma velosipēdistiem, jānorāda, ka tās lielākā riteņbraucēju organizācija "The Bicycle Network" ir izteikusi priekšlikumu pārskatīt šo prasību tikai velosipēdistiem, kas vecāki par 17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obligātu ķiveru lietošanas regulējuma negatīvo ietekmi uz velosipēda kā transportlīdzekļa izmantošanu vēršam uzmanību, ka par šādu ietekmi atsevišķos pētījumos rezultāti ir bijuši atšķirīgi, piemēram 2020.gadā veiktā pētījumā Kanādā “Adoption of municipal bylaw legislating mandatory helmet use for cyclists under the age of 18: impact on cycling and helmet use” (Aurélie Maurice, Michel Lavoie, Denis Hamel, Mylène Riva) (skat. saite: (https://www.canada.ca/en/public-health/services/reports-publications/health-promotion-chronic-disease-prevention-canada-research-policy-practice/vol-40-no-1-2020/original-quantitative-research-mandatory-helmet-cyclists.html) pēc normatīvo aktu izmaiņām attiecībā uz ķiveru lietošanu bērniem līdz 18 gadu vecumam,  kopā ar velobraukšanu veicinošām kampaņām, tika konstatēts pat velobraukšanas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Papildināt noteikumus ar 210.7. un 210.8.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 braukt pa pretējā virziena brauktuvi;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210.8. braukt pa velojoslu pretēji kustības virzienam blakus esošajā brauktuvē, izņemot gadījumus, kad velojosla atdalīta no pārējās brauktuves ar 920. vai 925. ceļu apzīmējumu vai ar paaugstinātu apmali un attiecīgais braukšanas virziens ir norādīts ar 937. ceļa apzīmējumu.".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(Apvienība "Pilsēta cilvēkiem"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210.7.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Braukt pa pretējā virziena brauktuvi aizliegts jebkādiem transportlīdzekļiem (spēkā esošo noteikumu 276.1. apakšpunkts), normas dublēšana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210.8.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Velojosla atbilstoši definīcijai ir brauktuves daļa, līdz ar to tā nav </w:t>
            </w:r>
            <w:r w:rsidR="00000000" w:rsidRPr="00000000" w:rsidDel="00000000">
              <w:rPr>
                <w:b w:val="1"/>
                <w:u w:val="single"/>
                <w:rtl w:val="0"/>
              </w:rPr>
              <w:t xml:space="preserve">blakus</w:t>
            </w:r>
            <w:r w:rsidR="00000000" w:rsidRPr="00000000" w:rsidDel="00000000">
              <w:rPr>
                <w:rtl w:val="0"/>
              </w:rPr>
              <w:t xml:space="preserve"> brauktuvei - tā ir </w:t>
            </w:r>
            <w:r w:rsidR="00000000" w:rsidRPr="00000000" w:rsidDel="00000000">
              <w:rPr>
                <w:b w:val="1"/>
                <w:u w:val="single"/>
                <w:rtl w:val="0"/>
              </w:rPr>
              <w:t xml:space="preserve">uz</w:t>
            </w:r>
            <w:r w:rsidR="00000000" w:rsidRPr="00000000" w:rsidDel="00000000">
              <w:rPr>
                <w:rtl w:val="0"/>
              </w:rPr>
              <w:t xml:space="preserve"> brauktuves.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satiksmes likuma 37. pantā noteikts, ka Latvijā transportlīdzekļi pārvietojas pa ceļa labo pusi. Velojosla ir brauktuves un līdz ar to arī ceļa daļa, tātad jau šobrīd drīkst braukt tikai pa brauktuves labajā pusē esošo velojoslu, normas dublēšana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Tiesības braukt pa velojoslu pretēji pārējās brauktuves virzienam tiek noteiktas nevis ar ceļa apzīmējumiem (kuri var būt nodiluši vai neredzami zem peļķēm, dubļiem vai sniega), bet ar 855. papildzīmi kopā ar 501. ceļa zīmi un 849. papildzīmi kopā ar 301. ceļa zīmi - skat., piemēram, Bruņinieku ielu un Sporta ielu Rīgā.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CSN 276.1.apakšpunkts satur norādījuma zīmes, kas ievieš vai atceļ noteiktu ceļu satiksmes režīmu, nevis nosaka aizliegumu, līdz ar to atsauce uz šo apakšpunktu nav pilnībā korekta.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Papildināt noteikumus ar 212.</w:t>
            </w:r>
            <w:r w:rsidR="00000000" w:rsidRPr="00000000" w:rsidDel="00000000">
              <w:rPr>
                <w:vertAlign w:val="superscript"/>
                <w:rtl w:val="0"/>
              </w:rPr>
              <w:t xml:space="preserve">7</w:t>
            </w:r>
            <w:r w:rsidR="00000000" w:rsidRPr="00000000" w:rsidDel="00000000">
              <w:rPr>
                <w:rtl w:val="0"/>
              </w:rPr>
              <w:t xml:space="preserve">5. un 212.</w:t>
            </w:r>
            <w:r w:rsidR="00000000" w:rsidRPr="00000000" w:rsidDel="00000000">
              <w:rPr>
                <w:vertAlign w:val="superscript"/>
                <w:rtl w:val="0"/>
              </w:rPr>
              <w:t xml:space="preserve">7</w:t>
            </w:r>
            <w:r w:rsidR="00000000" w:rsidRPr="00000000" w:rsidDel="00000000">
              <w:rPr>
                <w:rtl w:val="0"/>
              </w:rPr>
              <w:t xml:space="preserve">6.apakšpunktu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7</w:t>
            </w:r>
            <w:r w:rsidR="00000000" w:rsidRPr="00000000" w:rsidDel="00000000">
              <w:rPr>
                <w:rtl w:val="0"/>
              </w:rPr>
              <w:t xml:space="preserve"> 5.   braukt pa pretējā virziena brauktuvi;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w:t>
            </w:r>
            <w:r w:rsidR="00000000" w:rsidRPr="00000000" w:rsidDel="00000000">
              <w:rPr>
                <w:vertAlign w:val="superscript"/>
                <w:rtl w:val="0"/>
              </w:rPr>
              <w:t xml:space="preserve">7</w:t>
            </w:r>
            <w:r w:rsidR="00000000" w:rsidRPr="00000000" w:rsidDel="00000000">
              <w:rPr>
                <w:rtl w:val="0"/>
              </w:rPr>
              <w:t xml:space="preserve"> 6.    braukt pa velojoslu pretēji kustības virzienam blakus esošajā brauktuvē, izņemot gadījumus, kad velojosla atdalīta no pārējās brauktuves ar 920. vai 925. ceļu apzīmējumu vai ar paaugstinātu apmali un attiecīgais braukšanas virziens ir norādīts ar 937. ceļa apzīmējumu.".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(Apvienība "Pilsēta cilvēkiem"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212.7 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Braukt pa pretējā virziena brauktuvi aizliegts jebkādiem transportlīdzekļiem (spēkā esošo noteikumu 276.1. apakšpunkts), normas dublēšana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212.7 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Velojosla atbilstoši definīcijai ir brauktuves daļa, līdz ar to tā nav </w:t>
            </w:r>
            <w:r w:rsidR="00000000" w:rsidRPr="00000000" w:rsidDel="00000000">
              <w:rPr>
                <w:b w:val="1"/>
                <w:u w:val="single"/>
                <w:rtl w:val="0"/>
              </w:rPr>
              <w:t xml:space="preserve">blakus</w:t>
            </w:r>
            <w:r w:rsidR="00000000" w:rsidRPr="00000000" w:rsidDel="00000000">
              <w:rPr>
                <w:rtl w:val="0"/>
              </w:rPr>
              <w:t xml:space="preserve"> brauktuvei - tā ir </w:t>
            </w:r>
            <w:r w:rsidR="00000000" w:rsidRPr="00000000" w:rsidDel="00000000">
              <w:rPr>
                <w:b w:val="1"/>
                <w:u w:val="single"/>
                <w:rtl w:val="0"/>
              </w:rPr>
              <w:t xml:space="preserve">uz</w:t>
            </w:r>
            <w:r w:rsidR="00000000" w:rsidRPr="00000000" w:rsidDel="00000000">
              <w:rPr>
                <w:rtl w:val="0"/>
              </w:rPr>
              <w:t xml:space="preserve"> brauktuves.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satiksmes likuma 37. pantā noteikts, ka Latvijā transportlīdzekļi pārvietojas pa ceļa labo pusi. Velojosla ir brauktuves un līdz ar to arī ceļa daļa, tātad jau šobrīd drīkst braukt tikai pa brauktuves labajā pusē esošo velojoslu, normas dublēšana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Tiesības braukt pa velojoslu pretēji pārējās brauktuves virzienam tiek noteiktas nevis ar ceļa apzīmējumiem (kuri var būt nodiluši vai neredzami zem peļķēm, dubļiem vai sniega), bet ar 855. papildzīmi kopā ar 501. ceļa zīmi un 849. papildzīmi kopā ar 301. ceļa zīmi - skat., piemēram, Bruņinieku ielu un Sporta ielu Rīgā.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CSN 276.1.apakšpunkts satur norādījuma zīmes, kas ievieš vai atceļ noteiktu ceļu satiksmes režīmu nevis nosaka aizliegumu, līdz ar to atsauce uz šo apakšpunktu nav pilnībā korekta.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Izteikt 2.pielikuma 8.13. un 8.14.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sastāviem ar puspiekabi, kas sastāv no divasu vilcēja un trīsasu puspiekabes, kurš, veicot intermodālu pārvadājumu darbības, pārvadā vienu vai vairākus konteinerus vai maināmas virsbūves, kuru maksimālais kopējais garums ir līdz 45 pēdām vai kombinētu pārvadājumu, lai sasniegtu tuvāko attiecīgajam pakalpojumam piemēroto transporta termināli Latvijas teritorijā, pārvadājumu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sastāviem ar puspiekabi, kas sastāv no trīsasu vilcēja un divasu vai trīsasu puspiekabes, kurš, veicot intermodālu pārvadājumu darbības, pārvadā vienu vai vairākus konteinerus vai maināmas virsbūves, kuru maksimālais kopējais garums ir līdz 45 pēdām vai kombinētu pārvadājumu, lai sasniegtu tuvāko attiecīgajam pakalpojumam piemēroto transporta termināli Latvijas teritorijā, pārvadājumu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279 2. pielikuma 19. punktā norādīts, ka maksimālos garumus, kas noteikti šā pielikuma 1. punktā, ievērojot, ka netiek radīts transportlīdzekļu vai transportlīdzekļu sastāvu kravietilpības palielinājums, var pārsniegt transportlīdzekļi vai transportlīdzekļu sastāvi, kuriem ir atbilstoši Komisijas 2012. gada 12. decembra Regulas (ES) Nr. 1230/2012, ar ko īsteno Eiropas Parlamenta un Padomes Regulu (EK) Nr. 661/2009 par tipa apstiprināšanas prasībām attiecībā uz mehānisko transportlīdzekļu un to piekabju masu un gabarītiem un groza Eiropas Parlamenta un Padomes Direktīvu 2007/46/EK I pielikumam izgatavotas kabīnes, kas uzlabo to aerodinamikas rādītājus, energoefektivitāti un drošības rādītājus. Minēto atbilstību apliecina uz transportlīdzekļa izgatavotāja plāksnītes norādīta attiecīga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 regula no 2022. gada 5. jūlija vairs nav spēkā un ir atcelta (ES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32019R2144 ) ar Eiropas Parlamenta un Padomes Regula (ES) 2019/2144 (2019. gada 27. novembris) par prasībām mehānisko transportlīdzekļu un to piekabju un šiem transportlīdzekļiem paredzētu sistēmu, sastāvdaļu un atsevišķu tehnisko vienību tipa apstiprināšanai attiecībā uz to vispārīgo drošību un transportlīdzekļa braucēju un neaizsargāto ceļu satiksmes dalībnieku aizsardzību, ar ko groza Eiropas Parlamenta un Padomes Regulu (ES) 2018/858 un atceļ Eiropas Parlamenta un Padomes Regulas (EK) Nr. 78/2009, (EK) Nr. 79/2009 un (EK) Nr. 661/2009 un Komisijas Regulas (EK) Nr. 631/2009, (ES) Nr. 406/2010, (ES) Nr. 672/2010, (ES) Nr. 1003/2010, (ES) Nr. 1005/2010, (ES) Nr. 1008/2010, (ES) Nr. 1009/2010, (ES) Nr. 19/2011, (ES) Nr. 109/2011, (ES) Nr. 458/2011, (ES) Nr. 65/2012, (ES) Nr. 130/2012, (ES) Nr. 347/2012, (ES) Nr. 351/2012, (ES) Nr. 1230/2012 un (ES) 2015/166.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nepieciešams papildināt projektu un anotāciju, kā arī izvērtēt vai esošas normas ir atbilstošas jaunajai regulai.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un tā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2.pielikuma 19.punktu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Maksimālos garumus, kas noteikti šā pielikuma 1. punktā, ievērojot, ka netiek radīts transportlīdzekļu vai transportlīdzekļu sastāvu kravietilpības palielinājums, var pārsniegt transportlīdzekļi vai transportlīdzekļu sastāvi, kuriem ir atbilstoši  Komisijas Īstenošanas regulai (ES) 2021/535 (2021. gada 31. marts), ar ko nosaka Eiropas Parlamenta un Padomes Regulas (ES) 2019/2144 piemērošanas noteikumus transportlīdzekļu un šiem transportlīdzekļiem paredzētu sistēmu, sastāvdaļu un atsevišķu tehnisku vienību tipa apstiprināšanas vienotām procedūrām un tehniskajām specifikācijām attiecībā uz to vispārīgajiem konstrukcijas raksturlielumiem un drošību, izgatavotas kabīnes, kas uzlabo to aerodinamikas rādītājus, energoefektivitāti un drošības rādītājus. Minēto atbilstību apliecina uz transportlīdzekļa izgatavotāja plāksnītes norādīta attiecīga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punkts paredz papildināt noteikumus Nr. 279 ar jaunu 179.</w:t>
            </w:r>
            <w:r w:rsidR="00000000" w:rsidRPr="00000000" w:rsidDel="00000000">
              <w:rPr>
                <w:vertAlign w:val="superscript"/>
                <w:rtl w:val="0"/>
              </w:rPr>
              <w:t xml:space="preserve">1</w:t>
            </w:r>
            <w:r w:rsidR="00000000" w:rsidRPr="00000000" w:rsidDel="00000000">
              <w:rPr>
                <w:rtl w:val="0"/>
              </w:rPr>
              <w:t xml:space="preserve"> punktu nosakot, ka transportlīdzekļa sastāvam ar puspiekabi un piekabi ir atļauts piedalīties ceļu satiksmē, ja ir saņemta attiecīgā lielgabarīta un smagsvara pārvadājuma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1.3. sadaļā nav norādīts problēmas apraksts un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papildināt anotācijas 1.3. sadaļu ar pamatojumu un skaidrojumu, kāpēc ceļu satiksmē nepieciešams piedalīties transportlīdzeklim ar divām piekabēm, kā arī norādīt nosacījumus, kas būs jāievēro transportlīdzeklim ar divām piekabēm un, vai tas neradīs riskus ceļu satiksmes drošībai.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13.punktu.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"Gājēju drošība" pēdējā rindkopā svītrot vārdus "un kustība pa ceļu, kas apzīmēts ar ātrgaitas ceļa zīmi ", jo Ceļu satiksmes noteikumu 18.3. apakšpunkta redakcija, kas ir ietverta projektā, ir identiska spēkā esošajai.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ar tekstu šādā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precizētas atsevišķas darbības, kādas gājējiem ir aizliegtas - brauktuves šķērsošana ārpus noteiktām vietām (aizliegts to šķērsot ārpus gājēju pārejas, ja brauktuvei ir četras vai vairāk braukšanas joslas un ja nav sadalošās joslas). Tāpat precizēts attiecībā uz ierobežojumiem gājējiem šķērsot brauktuvi, nosakot, šķērsot brauktuvi vietās, kur uzstādīti nožogojumi gājējiem vai ceļu nožogojumi, izņemot vietas, kur ceļa nožogojumos ir speciāli ierīkoti ceļa šķērsošanai paredzēti pārtraukumi.".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vienlīdzīgu prasību, kas nodrošina arī vienlīdzīgus konkurences apstākļus, nepieciešamību starp tirgus dalībniekiem, kas savstarpēji konkurē, piedāvājot dažādus mikromobilitātes pakalpojumus patērētājiem, anotācijā nepieciešams plašāk skaidrot drošības prasības (aizsargķiveru lietošanu) tieši elektroskrejriteņu vadītājiem, pamatojot šī  mikromobilitātes veida atšķirību no pārējiem mikromobilitātes veidiem, uz kuriem minētā prasība netiek attiecināta. Attiecīgi, ja būtiskas atšķirības nav konstatējamas, būtu vērtējama prasības attiecināšana arī uz citiem ekvivalentiem mikromobilitātes veidiem. Vienlaikus papildināma anotācijas 2.2. sadaļa “Tiesiskā regulējuma ietekme uz tautsaimniecību”, sniedzot regulējuma ietekmes uz mikromobilitātes ierīču un transportlīdzekļu nomas tirgus dalībniekiem izvērtējumu, t.sk., ja iespējams, izvērtējot arī iespējamas alternatīvas regulējuma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ņemot vērā gan policijas, gan ārstniecības iestāžu sniegto statistiku un viedokļus, noteiktas papildu drošības prasības gan elektroskrejriteņu, gan velosipēdu lietotājiem.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gan eksperti, gan nevalstiskās organizācijas un nomas tirgus dalībnieki atbalsta papildus drošību noteikšanu bērniem līdz 17 gadu vecumam un alternatīvais risinājums ir mikromobilitātes rīku lietošanas aizliegšana, regulējuma ietekmes uz mikromobilitātes ierīču un transportlīdzekļu nomas tirgus dalībniekiem izvērtējuma veikšana nav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 jūnija noteikumos Nr. 279 "Ceļu satiksmes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Tieslietu ministrijas iepriekš izteikto priekšlikumu izvērtēt grozāmo noteikumu regulējumu kopsakarā ar 2023. gada 22. jūnija likumu "Grozījumi Ceļu satiksmes likumā" izziņā norādīts, ka priekšlikums ir ņemts vērā un no projekta svītroti grozījumi noteikumu 212.</w:t>
            </w:r>
            <w:r w:rsidR="00000000" w:rsidRPr="00000000" w:rsidDel="00000000">
              <w:rPr>
                <w:vertAlign w:val="superscript"/>
                <w:rtl w:val="0"/>
              </w:rPr>
              <w:t xml:space="preserve">1</w:t>
            </w:r>
            <w:r w:rsidR="00000000" w:rsidRPr="00000000" w:rsidDel="00000000">
              <w:rPr>
                <w:rtl w:val="0"/>
              </w:rPr>
              <w:t xml:space="preserve">3. apakšpunktā. Nav gan saprotams, kā šie precizējumi būtu saistīti ar minēto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piemēram, redzams, ka nav grozīts pat Ministru kabineta 2015. gada 2. jūnija noteikumu Nr. 279 "Ceļu satiksmes noteikumi" 212. punkts. Skatoties kopsakarā ar 2023. gada 22. jūnija likuma "Grozījumi Ceļu satiksmes likumā" 2. pantu (termina "velorikša" skaidrojums) un 6. pantu (pilnvarojums pašvaldībai), redzams, ka šāds regulējums grozāmajos noteikumos nedrīkstētu vairs atrasties.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atkārtoti izvērtēt minētajā priekšlikumā ietvertos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212.punkts.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 jūnija noteikumos Nr. 279 "Ceļu satiksmes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 jūnija noteikumos Nr. 279 "Ceļu satiksmes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Jāizvērtē projekta un Ministru kabineta 2015. gada 2. jūnija noteikumu Nr. 279 "Ceļu satiksmes noteikumi" (turpmāk – noteikumi) regulējums kopsakarā ar jaunākajiem grozījumiem likumā (likumprojekts Nr. 61/Lp14; pieņemts 22.06.2023.). Minētie likuma grozījumi satur vairāku jautājumu regulējumu, kas varētu ietekmēt noteikumus. Piemēram, noteikumu 212. punkts noteic: "Speciāli pasažieru pārvadāšanai vai reklāmas nolūkiem izgatavotiem velosipēdiem, kuru platums pārsniedz 1 m un kuri paredzēti komercpakalpojumu sniegšanai, izmantošanas nosacījumus un kustības maršrutu, izvērtējot tā sabiedriskās nepieciešamības un drošības kritērijus, nosaka pašvaldības dome." Savukārt minētajos likuma grozījumos ir iekļauts gan termina "velorikša" skaidrojums, gan arī pilnvarojums pašvaldībai. Līdz ar to minētais noteikumu punkts būtu svītrojams. Rūpīgi izvērtējama iespējamā situācija saistībā ar koplietošanas transportlīdzekļu (it īpaši elektroskrejriteņu) regulējumu. Piemēram, likumā būs paredzētas ļoti plašas, pamatā nekonkretizētas pašvaldības tiesības noteikt koplietošanas transportlīdzekļu izmantošanas noteikumus, ātruma ierobežojuma zonas un novietošanas aizlieguma zona. Šobrīd atsevišķi elektroskrejriteņu "novietošanas" ierobežojumi izriet jau no noteikumiem (piemēram, noteikumu 117. punkts principā atļauj elektroskrejriteņu novietošanu (stāvēšanu) uz ietves, arī 116. punkts satur stāvēšanas regulējumu). Tā rezultātā var rasties jautājumi par noteikumu un iespējamo pašvaldības saistošo noteikumu mijiedarbību (piemēram, ja pašvaldība noteiktu pilnīgu vai daļēju aizliegumu novietot elektroskrejriteņus uz ietvēm) un katrā normatīvajā aktā pieļaujamo regulējamo jautājumu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no tā svītrojot noteikumu projekta 212.</w:t>
            </w:r>
            <w:r w:rsidR="00000000" w:rsidRPr="00000000" w:rsidDel="00000000">
              <w:rPr>
                <w:vertAlign w:val="superscript"/>
                <w:rtl w:val="0"/>
              </w:rPr>
              <w:t xml:space="preserve">1</w:t>
            </w:r>
            <w:r w:rsidR="00000000" w:rsidRPr="00000000" w:rsidDel="00000000">
              <w:rPr>
                <w:rtl w:val="0"/>
              </w:rPr>
              <w:t xml:space="preserve"> 3.apakšpunkta izteikšanu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1</w:t>
            </w:r>
            <w:r w:rsidR="00000000" w:rsidRPr="00000000" w:rsidDel="00000000">
              <w:rPr>
                <w:rtl w:val="0"/>
              </w:rPr>
              <w:t xml:space="preserve"> 3. braukt pa ietvi vai kopīgo gājēju un velosipēdu ceļu. Braucot pa ietvi vai kopīgo gājēju un velosipēdu ceļu, elektroskrejriteņu vadītājiem jāizvēlas tāds braukšanas ātrums, lai netiktu apdraudēti vai traucēti gājēji un, ja nepieciešams, jābrauc ar ātrumu, kas nepārsniedz gājēju pārvietošanās ātrumu vai jāaptur elektroskrejritenis. Elektroskrejriteņu vadītāji nedrīkst apdraudēt vai traucēt gājējus. Gājējiem, pārvietojoties pa ietvi, ir priekšroka. Braucot pa ietvi vai kopīgo gājēju un velosipēdu ceļu vietās, kur elektroskrejriteņu vadītāju braukšanas trajektorijas krustojas ar pārējo transportlīdzekļu braukšanas trajektorijām, elektroskrejriteņu vadītājiem jānovērtē attālums līdz transportlīdzekļiem, kas tuvojas, kā arī jānovērtē to braukšanas ātrums un jāpārliecinās par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 jūnija noteikumos Nr. 279 "Ceļu satiksmes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 jūnija noteikumos Nr. 279 "Ceļu satiksmes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taupītu degvielu, kas pēdējo gadu laikā ir ievērojami sadārdzinājusies, aizvien vairāk lauksaimnieku izmanto iespēju produkciju un izejvielas pārvadāt ar divām piekabēm, tai skaitā ar vienasu ratiem lai vilktu puspiekabes, jo tas ir ātrāk, lētāk un saimniekošanu padara daudz efektīvāku. Priekšlikums paredz no noteikumu Nr. 279 179. punkta svītrot nosacījumu par velkamo piekabes asu skaitu un par to, kuros mēnešos un kādā diennakts laikā drīkst vai nedrīkst ar traktortehniku vilt divas piekabes.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Detalizētāka informācija ir iekļauta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179. punktu šādā redakcijā:"179. Traktortehnikai ar pilnu masu virs 4000 kg atļauts vilkt divas ar darba bremzēm aprīkotas piekabes, kas nodrošina darba bremžu funkcionalitāti."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18.punkts, izsakot noteikumu 179.punktu šadā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 Traktortehnikai ar pilnu masu virs 4000 kg atļauts vilkt divas ar darba bremzēm aprīkotas piekabes, kas nodrošina darba bremžu funkcionalitāti.".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 jūnija noteikumos Nr. 279 "Ceļu satiksmes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 jūnija noteikumos Nr. 279 "Ceļu satiksmes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to, ka traktortehnika ar palielinātiem ātrumiem neradītu draudus kopējai ceļu satiksmes drošībai, ir nepieciešams noteikumus Nr. 279 papildināt ar jaunu 101.3. apakšpunktu, kas noteiktu, ka traktortehnikas maksimāls braukšanas ātrums ārpus apdzīvotām vietām nedrīkst pārsniegt 60 km/h.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Detalizētāka informācija ir iekļauta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101.3. apakšpunktu šādā redakcijā:"101.3. traktortehnikai – 60 km/h."</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15.punkts, papildinot noteikumus ar 103.8.apakšpunktu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"103.8. traktortehnikai – 60 km/h."</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 jūnija noteikumos Nr. 279 "Ceļu satiksmes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 jūnija noteikumos Nr. 279 "Ceļu satiksmes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Saeimas 2023.gada 22.jūnija sēdē trešajā lasījumā tika apstiprināts likumprojekts “Grozījumi Ceļu satiksmes likumā” (61/Lp14) (turpmāk – likumprojekts), kas paredz Ceļu satiksmes likuma 4. pantu palidināt ar 6.</w:t>
            </w:r>
            <w:r w:rsidR="00000000" w:rsidRPr="00000000" w:rsidDel="00000000">
              <w:rPr>
                <w:vertAlign w:val="superscript"/>
                <w:rtl w:val="0"/>
              </w:rPr>
              <w:t xml:space="preserve">1</w:t>
            </w:r>
            <w:r w:rsidR="00000000" w:rsidRPr="00000000" w:rsidDel="00000000">
              <w:rPr>
                <w:rtl w:val="0"/>
              </w:rPr>
              <w:t xml:space="preserve"> daļu nosakot, ka Valsts tehniskās uzraudzības aģentūras (turpmāk arī – aģentūra) amatpersona ir tiesīga apturēt ekspluatācijā esošu traktortehniku, lai kontrolētu traktortehnikas un tās piekabes tehnisko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likumprojekts paredz tiesības aģentūras amatpersonām apturēt traktortehniku uz ceļiem tehnisko kontroļu veikšanai, noteikumu Nr.279 25.7. un 25.9 apakšpunktam būtu jāparedz pienākums transportlīdzekļa vadītājam apturēt traktortehniku pēc aģentūras inspektora dotajām norādēm, kā arī nogādāt transportlīdzekli kontroles veikšanas vietā, ja ceļa ierobežotā platuma dēļ tehnisko kontroli droši nevar veikt vietā, kur transportlīdzeklis ir apturēts. Tādā gadījumā transportlīdzeklis tiks nogādāts vietā, kur tehniskās kontroles veikšana neradīs apdraudējumu citiem ceļu satiksmes dalībniekiem un aģentūras inspektoru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Detalizētāka informācija ir iekļauta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iekļaut sekojošos priekšlikumus: 1) izteikt 25.7. apakšpunktu šādā redakcijā:“25.7. apturēt transportlīdzekli, ja policijas darbinieks, robežsargs, pašvaldības transporta kontroles dienesta amatpersona, muitas amatpersona vai Valsts tehniskās uzraudzības aģentūras inspektors dod norādījumu:”; 2) izteikt 25.9. apakšpunktu šādā redakcijā:“25.9. pakļauties kompetentās iestādes amatpersonu veiktajām pārbaudēm, tām veicot normatīvajos aktos noteiktās uzraudzības un kontroles funkcijas, tai skaitā policijas, Valsts tehniskās uzraudzības aģentūras vai muitas darbinieka prasībai nogādāt transportlīdzekli kontroles veikšanas vietā, kā arī nodot transportlīdzekli minēto kontroļu veikšanai, ļaut veikt šo noteikumu 218., 219. un 220. punktā minētā aprīkojuma apskati.”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 jūnija noteikumos Nr. 279 "Ceļu satiksmes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 jūnija noteikumos Nr. 279 "Ceļu satiksmes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papildināt projektu ar normām, kas skaidri noteiktu, ka ar velosipēdiem un elektroskrejriteņiem nav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braukt pa pretējā virziena brauktuvi;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braukt pa velojoslu pretēji kustības virzienam blakus esošajā brauktuvē, izņemot gadījumus, kad velojosla atdalīta no pārējās brauktuves ar 920. vai 925. ceļu apzīmējumu vai ar paaugstinātu apmali un attiecīgais braukšanas virziens ir norādīts ar 937. ceļa apzīmējumu.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 jūnija noteikumos Nr. 279 "Ceļu satiksmes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2.29.apakšpunktu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 velojosla – josla uz brauktuves, kas paredzēta braukšanai ar velosipēdu un elektroskrejriteni un no citu transportlīdzekļu joslas ir atdalīta ar 920. vai 925. ceļa apzīmējumu, vai ar paaugstinātu apmali (tiek apzīmēta ar 941. ceļa apzīmējumu; var tikt apzīmēta ar 413. un 817. ceļa zīmi);".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2.punktā piedāvātos grozījumus 2.29.apakšpunktā, kas pēc būtības paredz, ka velojoslas turpmāk vairs netiks apzīmētas ar 824. ceļa zīmi, aicinām izvērtēt nepieciešamību izdarīt attiecīgus grozījumus arī spēkā esošo Ministru kabineta 2015.gada 2.jūnija noteikumu Nr.279 "Ceļu satiksmes noteikumi" 94.punktā, kurā cita starpā atrodama norāde uz jau minēto 824. ceļa 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11., 12. un 13.punktu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ff" w:val="clear"/>
                <w:rtl w:val="0"/>
              </w:rPr>
              <w:t xml:space="preserve">"11. Organizētas cilvēku grupas (ekskursijas, gājieni u.c.) drīkst pārvietoties tikai pa ceļa labo pusi transportlīdzekļu braukšanas virzienā grupā ne vairāk par četriem cilvēkiem rindā. Organizētās cilvēku grupas priekšā kreisajā pusē un aizmugurē kreisajā pusē jāatrodas personām speciālā augstas redzamības apģērbā ar gaismu atstarojošiem elementiem, bet diennakts tumšajā laikā un nepietiekamas redzamības apstākļos – papildus arī ar iedegtiem lukturiem: priekšā ar baltas gaismas lukturi, bet aizmugurē ar sarkanas gaismas lukturi.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ff" w:val="clear"/>
                <w:rtl w:val="0"/>
              </w:rPr>
              <w:t xml:space="preserve">12. Bērnu grupas drīkst pārvietoties pa ietvēm, gājēju ceļiem, gājēju un velosipēdu ceļiem vai kopīgiem gājēju un velosipēdu ceļiem, bet, ja to nav, –  tikai diennakts gaišajā laikā pa ceļa labās puses nomali transportlīdzekļu braukšanas virzienā kolonnā ne vairāk par diviem bērniem rindā. Bērnu grupas priekšā kreisajā pusē un aizmugurē kreisajā pusē jāatrodas pieaugušajiem speciālā augstas redzamības apģērbā ar atstarojošiem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ff" w:val="clear"/>
                <w:rtl w:val="0"/>
              </w:rPr>
              <w:t xml:space="preserve">13. Gājējiem brauktuve jāšķērso pa gājēju pārejām (pazemes vai virszemes), bet, ja to nav, – krustojumos pa ietvju vai nomaļu iedomāto turpinājumu. Ja gājēja redzamības zonā gājēju pārejas vai krustojuma nav, brauktuvi atļauts šķērsot taisnā leņķī attiecībā pret brauktuves malu pārliecinoties, ka netuvojas transportlīdzekļi.".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viennozīmīgi saprotams projekta 11.punktā ietvertais skaidrojums "(ekskursijas, gājieni u.c.)", jo projekta anotācijā tas arī nav atrunāts. Vienlaikus nav skaidrots, kas ir speciāls augstas redzamības apģērbs. Ievērojot noteikumos lietoto terminoloģiju, aicinām projekta 11. un 12. punktā  aizstāt vārdus "speciālā augstas redzamības apģērbā" ar vārdiem "atstarojošā vestē vai apģērbā ar labi redzamiem gaismu atstarojoša materiāla elementiem", kā arī skaidrot projekta anotācijā 11.punktā ietvertos vārdus "ekskursijas, gājieni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un 12.punkts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25.9.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 pakļauties kompetentās iestādes amatpersonu veiktajām pārbaudēm, tām veicot normatīvajos aktos noteiktās uzraudzības un kontroles funkcijas, tai skaitā policijas, Valsts tehniskās uzraudzības aģentūras vai muitas darbinieka prasībai nogādāt transportlīdzekli kontroles veikšanas vietā, kā arī nodot transportlīdzekli minēto kontroļu veikšanai, ļaut veikt šo noteikumu 218., 219. un 220. punktā minētā aprīkojuma apskati.”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projekta 7.punktā paredzētajā Noteikumu 25.9.apakšpunktā atsauci uz Noteikumu 220.punktu, jo minētais punkts ir svītrots (skat. MK 22.08.2017. noteikumus Nr. 496).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shd w:fill="#ffffff" w:val="clear"/>
                <w:rtl w:val="0"/>
              </w:rPr>
              <w:t xml:space="preserve">Izteikt 110.punktu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ff" w:val="clear"/>
                <w:rtl w:val="0"/>
              </w:rPr>
              <w:t xml:space="preserve">“110. Lai netraucētu citus ceļu satiksmes dalībniekus, palaistu garām ar lielāku ātrumu braucošu transportlīdzekli, šo noteikumu 88.punktā minētie transportlīdzekļi drīkst īslaicīgi braukt pa ceļa nomali, ja tai ir asfalta vai asfaltbetona segums. Ja ārpus apdzīvotām vietām ceļa platums vai brauktuves stāvoklis, ņemot vērā pretim braucošo transportlīdzekļu satiksmes intensitāti, neļauj apdzīt lēni braucošu, šo noteikumu 88.punktā minētie transportlīdzekļi, tā vadītājam, netraucējot citus ceļu satiksmes dalībniekus, jābrauc iespējami tuvāk ceļa (nomales) labajai malai, kā arī, ja nepieciešams, jāaptur transportlīdzeklis un jāpalaiž garām transportlīdzekļi, kas aiz tā izveidojuši sastrēgumu.”.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iepriekšējā atzinumā bija norādīts, ka projektā vairākos gadījumos ir ietverta nekonkretizēta norāde "ja nepieciešams". Izziņā ir skaidrots, ka šāda norāde ir jau spēkā esošajā regulējumā un ka tas nav radījis neizpratni ne piemērotājiem, ne sabiedrībai. Lai arī pēdējais arguments ir visai apšaubāms, kopumā šie argumenti paši par sevi neko nenozīmētu, ja tiktu vērtētu tiesību normas skaidrība, saprotamība un paredzamība, it īpaši kopsakarā ar sodu regulējumu. Turklāt tieši tāpēc, ka ceļu satiksmes noteikumiem "jābūt viegli uztveramiem un saprotamiem visām sabiedrības grupām", tajos nav ieteicams ietvert šādas nenoteiktas pazīmes, it īpaši, ja no tā var izvairīties.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projekta 9. punktā izsvītrojot vārdus "ja nepieciešams", šīs normas jēga nemainītos. Savukārt, projekta 15. punktā ir noteikts, ka velosipēdu vadītājiem jāizvēlas tāds braukšanas ātrums, lai netiktu apdraudēti vai traucēti gājēji. Braukšana ar ātrumu, kas nepārsniedz gājēju pārvietošanās ātrumu, ir tikai viena no iepriekš minētās prasības izpausmes formām. Tieši esošais regulējums rada acīmredzamu jautājumu, kādos gadījumos tad būtu jābrauc gājēju pārvietošanās ātrumā. Normas konstrukcija liecina, ka parasti pieļaujamais ātrums (proti, tāds, lai netiktu apdraudēti vai traucēti gājēji) pārsniedz gājēju pārvietošanās ātrumu. Prasību, kas seko vārdiem "ja nepieciešams", nošķiršana no prasības izvēlēties ātrumu, kas neapdraud vai netraucē gājējus, rūpīgākas analīzes rezultātā atklāj tikai liekus sarežģījumus.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vēlreiz pārskatīt projektu un atteikties no vārdu "ja nepieciešams" lietojuma.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un 16. punkta redakcijas attiecīgi precizētas.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shd w:fill="#ffffff" w:val="clear"/>
                <w:rtl w:val="0"/>
              </w:rPr>
              <w:t xml:space="preserve">Papildināt noteikumus ar 179.</w:t>
            </w:r>
            <w:r w:rsidR="00000000" w:rsidRPr="00000000" w:rsidDel="00000000">
              <w:rPr>
                <w:shd w:fill="#ffffff" w:val="clear"/>
                <w:vertAlign w:val="superscript"/>
                <w:rtl w:val="0"/>
              </w:rPr>
              <w:t xml:space="preserve">1 </w:t>
            </w:r>
            <w:r w:rsidR="00000000" w:rsidRPr="00000000" w:rsidDel="00000000">
              <w:rPr>
                <w:shd w:fill="#ffffff" w:val="clea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ff" w:val="clear"/>
                <w:rtl w:val="0"/>
              </w:rPr>
              <w:t xml:space="preserve">“179.</w:t>
            </w:r>
            <w:r w:rsidR="00000000" w:rsidRPr="00000000" w:rsidDel="00000000">
              <w:rPr>
                <w:shd w:fill="#ffffff" w:val="clear"/>
                <w:vertAlign w:val="superscript"/>
                <w:rtl w:val="0"/>
              </w:rPr>
              <w:t xml:space="preserve">1</w:t>
            </w:r>
            <w:r w:rsidR="00000000" w:rsidRPr="00000000" w:rsidDel="00000000">
              <w:rPr>
                <w:shd w:fill="#ffffff" w:val="clear"/>
                <w:rtl w:val="0"/>
              </w:rPr>
              <w:t xml:space="preserve">  Automobilim ir atļauts vilkt divas piekabes (puspiekabi un piekabi),  ja ir saņemta attiecīga lielgabarīta un smagsvara pārvadājumu atļauja.“.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2.pielikumā minētie lielumi attiecas uz sastāviem ar vienu piekabi, savukārt projekta 9.punktā  tiek noteikts, ka ja saņemta attiecīga lielgabarīta un smagsvara pārvadājumu  atļauja, automobilim ir atļauts vilkt divas piekabes (puspiekabi un piekabi). Lūdzam 2.pielikumā noteikt lielumus sastāviem ar 2 piekabēm.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noteikumi tiek papildināti ar 179.</w:t>
            </w:r>
            <w:r w:rsidR="00000000" w:rsidRPr="00000000" w:rsidDel="00000000">
              <w:rPr>
                <w:vertAlign w:val="superscript"/>
                <w:rtl w:val="0"/>
              </w:rPr>
              <w:t xml:space="preserve">1</w:t>
            </w:r>
            <w:r w:rsidR="00000000" w:rsidRPr="00000000" w:rsidDel="00000000">
              <w:rPr>
                <w:rtl w:val="0"/>
              </w:rPr>
              <w:t xml:space="preserve"> punktu, vienlaikus jāpapildina noteikumu 180.8.punkts ar atsauci uz 179.1 punktu,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vairāk par vienu piekabi, izņemot šo noteikumu 179. un 179.</w:t>
            </w:r>
            <w:r w:rsidR="00000000" w:rsidRPr="00000000" w:rsidDel="00000000">
              <w:rPr>
                <w:vertAlign w:val="superscript"/>
                <w:rtl w:val="0"/>
              </w:rPr>
              <w:t xml:space="preserve">1</w:t>
            </w:r>
            <w:r w:rsidR="00000000" w:rsidRPr="00000000" w:rsidDel="00000000">
              <w:rPr>
                <w:rtl w:val="0"/>
              </w:rPr>
              <w:t xml:space="preserve"> punktā minēto gadījumu.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piešķir atļaujas nosaka Ministru kabineta 2010.gada 6.aprīļa notiekumi Nr.343 “Noteikumi par lielgabarīta un smagsvara pārvadājumiem”.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92.punktu ar jaunu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ceļš apzīmēts ar 505., 507., 509. vai 510. ceļa zīmi, pa joslu, kas paredzēta pasažieru sabiedriskajiem transportlīdzekļiem, pārējo transport­līdzekļu vadītājiem aizliegts braukt un apturēt transportlīdzekli šajā joslā, izņemot divriteņu mopēdus un motociklus, taksometrus, attiecīgi reģistrētus elektromobiļus, kuriem uzstādītas speciālas nozīmes transportlīdzekļa valsts reģistrācijas numura zīmes, un, ja kāda no minētajām zīmēm uzstādīta kopā ar 824. papildzīmi, – arī velosipēdus un elektroskrejriteņus. Pašvaldības ar attiecīgu lēmumu ir tiesīgas noteikt laikposmu, kad transportlīdzekļus drīkst apturēt joslā, kas paredzēta pasažieru sabiedriskajiem transportlīdzekļiem, lai iekrautu vai izkrautu kravu."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(Apvienība "Pilsēta cilvēkiem"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jāatļauj velosipēdu un elektroskrejriteņu kustība pa joslu, kas paredzēta pasažieru sabiedriskajiem transportlīdzekļiem, ja tā ir ierīkota brauktuves labajā pusē, jo braukšana pa otrās joslas malu pa vidu starp automašīnām no vienas puses un trolejbusiem un autobusiem no otras puses ir ļoti bīstama - pietuvojoties pārāk tuvu ceļa apzīmējuma līnijai, daļa velosipēda stūres atradīsies virs joslas, kas paredzēta pasažieru sabiedriskajiem transportlīdzekļiem, kā rezultātā ar ātrumu 50 km/h braucošs trolejbuss vai autobuss var uzbraukt velosipēdam vai elektroskrejritenim.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92.punktu ar jaunu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ceļš apzīmēts ar 505., 507., 509. vai 510. ceļa zīmi, pa joslu, kas paredzēta pasažieru sabiedriskajiem transportlīdzekļiem, pārējo transport­līdzekļu vadītājiem aizliegts braukt un apturēt transportlīdzekli šajā joslā, izņemot divriteņu mopēdus un motociklus, taksometrus, attiecīgi reģistrētus elektromobiļus, kuriem uzstādītas speciālas nozīmes transportlīdzekļa valsts reģistrācijas numura zīmes, un, ja kāda no minētajām zīmēm uzstādīta kopā ar 824. papildzīmi vai ja josla pasažieru sabiedriskajiem transportlīdzekļiem apzīmēta ar 505. ceļa zīmi un iekārtota brauktuves labajā pusē, – arī velosipēdus un elektroskrejriteņus. Pašvaldības ar attiecīgu lēmumu ir tiesīgas noteikt laikposmu, kad transportlīdzekļus drīkst apturēt joslā, kas paredzēta pasažieru sabiedriskajiem transportlīdzekļiem, lai iekrautu vai izkrautu kravu."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92.punktu ar jaunu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ceļš apzīmēts ar 505., 507., 509. vai 510. ceļa zīmi, pa joslu, kas paredzēta pasažieru sabiedriskajiem transportlīdzekļiem, pārējo transport­līdzekļu vadītājiem aizliegts braukt un apturēt transportlīdzekli šajā joslā, izņemot divriteņu mopēdus un motociklus, taksometrus, attiecīgi reģistrētus elektromobiļus, kuriem uzstādītas speciālas nozīmes transportlīdzekļa valsts reģistrācijas numura zīmes, un, ja kāda no minētajām zīmēm uzstādīta kopā ar 824. papildzīmi, – arī velosipēdus un elektroskrejriteņus. Pašvaldības ar attiecīgu lēmumu ir tiesīgas noteikt laikposmu, kad transportlīdzekļus drīkst apturēt joslā, kas paredzēta pasažieru sabiedriskajiem transportlīdzekļiem, lai iekrautu vai izkrautu kravu."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(Apvienība "Pilsēta cilvēkiem"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jāatļauj velosipēdu un elektroskrejriteņu kustība pa joslu, kas paredzēta pasažieru sabiedriskajiem transportlīdzekļiem, ja tā ir ierīkota brauktuves labajā pusē, jo braukšana pa otrās joslas malu pa vidu starp automašīnām no vienas puses un trolejbusiem un autobusiem no otras puses ir ļoti bīstama - pietuvojoties pārāk tuvu ceļa apzīmējuma līnijai, daļa velosipēda stūres atradīsies virs joslas, kas paredzēta pasažieru sabiedriskajiem transportlīdzekļiem, kā rezultātā ar ātrumu 50 km/h braucošs trolejbuss vai autobuss var uzbraukt velosipēdam vai elektroskrejritenim.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92.punktu ar jaunu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ceļš apzīmēts ar 505., 507., 509. vai 510. ceļa zīmi, pa joslu, kas paredzēta pasažieru sabiedriskajiem transportlīdzekļiem, pārējo transport­līdzekļu vadītājiem aizliegts braukt un apturēt transportlīdzekli šajā joslā, izņemot divriteņu mopēdus un motociklus, taksometrus, attiecīgi reģistrētus elektromobiļus, kuriem uzstādītas speciālas nozīmes transportlīdzekļa valsts reģistrācijas numura zīmes, un, ja kāda no minētajām zīmēm uzstādīta kopā ar 824. papildzīmi vai ja josla pasažieru sabiedriskajiem transportlīdzekļiem apzīmēta ar 505. ceļa zīmi un iekārtota brauktuves labajā pusē, – arī velosipēdus un elektroskrejriteņus. Pašvaldības ar attiecīgu lēmumu ir tiesīgas noteikt laikposmu, kad transportlīdzekļus drīkst apturēt joslā, kas paredzēta pasažieru sabiedriskajiem transportlīdzekļiem, lai iekrautu vai izkrautu kravu."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shd w:fill="#ffffff" w:val="clear"/>
                <w:rtl w:val="0"/>
              </w:rPr>
              <w:t xml:space="preserve">Izteikt 212.</w:t>
            </w:r>
            <w:r w:rsidR="00000000" w:rsidRPr="00000000" w:rsidDel="00000000">
              <w:rPr>
                <w:shd w:fill="#ffffff" w:val="clear"/>
                <w:vertAlign w:val="superscript"/>
                <w:rtl w:val="0"/>
              </w:rPr>
              <w:t xml:space="preserve">1</w:t>
            </w:r>
            <w:r w:rsidR="00000000" w:rsidRPr="00000000" w:rsidDel="00000000">
              <w:rPr>
                <w:shd w:fill="#ffffff" w:val="clear"/>
                <w:rtl w:val="0"/>
              </w:rPr>
              <w:t xml:space="preserve"> 3.apakšpunktu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ff" w:val="clear"/>
                <w:rtl w:val="0"/>
              </w:rPr>
              <w:t xml:space="preserve">“212.</w:t>
            </w:r>
            <w:r w:rsidR="00000000" w:rsidRPr="00000000" w:rsidDel="00000000">
              <w:rPr>
                <w:shd w:fill="#ffffff" w:val="clear"/>
                <w:vertAlign w:val="superscript"/>
                <w:rtl w:val="0"/>
              </w:rPr>
              <w:t xml:space="preserve">1</w:t>
            </w:r>
            <w:r w:rsidR="00000000" w:rsidRPr="00000000" w:rsidDel="00000000">
              <w:rPr>
                <w:shd w:fill="#ffffff" w:val="clear"/>
                <w:rtl w:val="0"/>
              </w:rPr>
              <w:t xml:space="preserve"> 3. braukt pa ietvi vai kopīgo gājēju un velosipēdu ceļu. Braucot pa ietvi vai kopīgo gājēju un velosipēdu ceļu, </w:t>
            </w:r>
            <w:r w:rsidR="00000000" w:rsidRPr="00000000" w:rsidDel="00000000">
              <w:rPr>
                <w:shd w:fill="#ffffff" w:val="clear"/>
                <w:rtl w:val="0"/>
              </w:rPr>
              <w:t xml:space="preserve">elektroskrejriteņu</w:t>
            </w:r>
            <w:r w:rsidR="00000000" w:rsidRPr="00000000" w:rsidDel="00000000">
              <w:rPr>
                <w:shd w:fill="#ffffff" w:val="clear"/>
                <w:rtl w:val="0"/>
              </w:rPr>
              <w:t xml:space="preserve"> vadītājiem jāizvēlas tāds braukšanas ātrums, lai netiktu apdraudēti vai traucēti gājēji un, ja nepieciešams, jābrauc ar ātrumu, kas nepārsniedz gājēju pārvietošanās ātrumu vai jāaptur </w:t>
            </w:r>
            <w:r w:rsidR="00000000" w:rsidRPr="00000000" w:rsidDel="00000000">
              <w:rPr>
                <w:shd w:fill="#ffffff" w:val="clear"/>
                <w:rtl w:val="0"/>
              </w:rPr>
              <w:t xml:space="preserve">elektroskrejritenis</w:t>
            </w:r>
            <w:r w:rsidR="00000000" w:rsidRPr="00000000" w:rsidDel="00000000">
              <w:rPr>
                <w:shd w:fill="#ffffff" w:val="clear"/>
                <w:rtl w:val="0"/>
              </w:rPr>
              <w:t xml:space="preserve">. </w:t>
            </w:r>
            <w:r w:rsidR="00000000" w:rsidRPr="00000000" w:rsidDel="00000000">
              <w:rPr>
                <w:shd w:fill="#ffffff" w:val="clear"/>
                <w:rtl w:val="0"/>
              </w:rPr>
              <w:t xml:space="preserve">Elektroskrejriteņu</w:t>
            </w:r>
            <w:r w:rsidR="00000000" w:rsidRPr="00000000" w:rsidDel="00000000">
              <w:rPr>
                <w:shd w:fill="#ffffff" w:val="clear"/>
                <w:rtl w:val="0"/>
              </w:rPr>
              <w:t xml:space="preserve"> vadītāji nedrīkst apdraudēt vai traucēt gājējus. Gājējiem, pārvietojoties pa ietvi, ir priekšroka. Braucot pa ietvi vai kopīgo gājēju un velosipēdu ceļu vietās, kur </w:t>
            </w:r>
            <w:r w:rsidR="00000000" w:rsidRPr="00000000" w:rsidDel="00000000">
              <w:rPr>
                <w:shd w:fill="#ffffff" w:val="clear"/>
                <w:rtl w:val="0"/>
              </w:rPr>
              <w:t xml:space="preserve">elektroskrejriteņu</w:t>
            </w:r>
            <w:r w:rsidR="00000000" w:rsidRPr="00000000" w:rsidDel="00000000">
              <w:rPr>
                <w:shd w:fill="#ffffff" w:val="clear"/>
                <w:rtl w:val="0"/>
              </w:rPr>
              <w:t xml:space="preserve"> vadītāju braukšanas trajektorijas krustojas ar pārējo transportlīdzekļu braukšanas trajektorijām, </w:t>
            </w:r>
            <w:r w:rsidR="00000000" w:rsidRPr="00000000" w:rsidDel="00000000">
              <w:rPr>
                <w:shd w:fill="#ffffff" w:val="clear"/>
                <w:rtl w:val="0"/>
              </w:rPr>
              <w:t xml:space="preserve">elektroskrejriteņu</w:t>
            </w:r>
            <w:r w:rsidR="00000000" w:rsidRPr="00000000" w:rsidDel="00000000">
              <w:rPr>
                <w:shd w:fill="#ffffff" w:val="clear"/>
                <w:rtl w:val="0"/>
              </w:rPr>
              <w:t xml:space="preserve"> vadītājiem jānovērtē attālums līdz transportlīdzekļiem, kas tuvojas, kā arī jānovērtē to braukšanas ātrums un jāpārliecinās par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(Apvienība "Pilsēta cilvēkiem"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elektroskrejriteņi uz ietvēm rada būtisku apdraudējumu, atļaut braukt pa ietvi tikai tad, ja braukšana pa brauktuvi, ņemot vērā ceļu satiksmes intensitāti, ceļa un meteoroloģiskos apstākļus, nav iespējama, ir apgrūtināta vai bīstama, līdzīgi kā tas noteikts 200.3.apakšpunktā attiecībā uz velosipēdu vadītājiem.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sākotnējo regulējumu elektroskrejriteņu dalībai ceļu satiksmē, cita starpā tika ņemts arī vērā, ka konstruktīvo īpatnību dēļ braukšana ar elektroskrejriteni pa brauktuvi var radīt papildus risku tā vadītājam (riteņu izmērs, vadāmība, smaguma centrs u.c. faktori). Ņemot vērā šo aspektu, tika arī ieviests, ka ir pieļaujama braukšana pa ietvi. Pašlaik izvērtējot esošā regulējuma ietekmi, secināts, ka būtisku apdraudējumu uz ietvēm rada elektroskrejriteņu vadītāji, kas neievēro nosacījumu par gājēju priekšrocībām un nepieciešamību samazināt ātrumu. Tādējādi pašlaik plānots precīzāk noteikt, ka elektroskrejriteņu vadītāji nedrīkst pārsniegt atļauto ātrumu, tāpat tiem nepieciešamības gadījumā ir jābrauc ar ātrumu, kas nepārsniedz gājēju kustības ātrumu.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Izteikt 246.punktu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 Automobiļa salonā pie priekšējā stikla atļauts novietot invalīdu stāvvietu izmantošanas karti, ja automobiļa vadītājs vai tā pasažieris ir persona, kurai izsniegta invalīdu stāvvietu izmantošanas karte. Invalīdu stāvvietu izmantošanas karti ir tiesības saņemt: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246.1. personai ar invaliditāti, kam ir kustību un gaitas traucējumi un kam Veselības un darbspēju ekspertīzes ārstu valsts komisija izsniegusi atzinumu par medicīniskajām indikācijām vieglā automobiļa speciālai pielāgošanai un pabalsta saņemšanai transporta izdevumu kompensēšanai;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246.2. personai ar I grupas redzes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246.3. personai vecumā līdz 18 gadiem, kam noteikta invaliditāte un kam Veselības un darbspēju ekspertīzes ārstu valsts komisija izsniegusi atzinumu par īpašas kopšanas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 un 16. punktā paredzēto noteikumu 246., 246.</w:t>
            </w:r>
            <w:r w:rsidR="00000000" w:rsidRPr="00000000" w:rsidDel="00000000">
              <w:rPr>
                <w:vertAlign w:val="superscript"/>
                <w:rtl w:val="0"/>
              </w:rPr>
              <w:t xml:space="preserve">1</w:t>
            </w:r>
            <w:r w:rsidR="00000000" w:rsidRPr="00000000" w:rsidDel="00000000">
              <w:rPr>
                <w:rtl w:val="0"/>
              </w:rPr>
              <w:t xml:space="preserve"> un 246.</w:t>
            </w:r>
            <w:r w:rsidR="00000000" w:rsidRPr="00000000" w:rsidDel="00000000">
              <w:rPr>
                <w:vertAlign w:val="superscript"/>
                <w:rtl w:val="0"/>
              </w:rPr>
              <w:t xml:space="preserve">2</w:t>
            </w:r>
            <w:r w:rsidR="00000000" w:rsidRPr="00000000" w:rsidDel="00000000">
              <w:rPr>
                <w:rtl w:val="0"/>
              </w:rPr>
              <w:t xml:space="preserve"> punktu nepieciešams papildus izvērtēt sadarbībā ar Labklājības ministriju. Vēršam uzmanību, ka likuma 3. panta otrā daļa, atbilstoši kurai ir izdoti noteikumi, paredz, ka ceļu satiksmes kārtību Latvijā nosaka Ministru kabinets, apstiprinot Ceļu satiksmes noteikumus. Šādu pilnvarojumu var interpretēt plaši, bet vienlaikus no tiesību sistēmas viedokļa nebūtu pieļaujams, ka noteikumos par ceļu satiksmes kārtību tiek iekļauts izvērsts regulējums par invalīdu stāvvietu izmantošanas kartes piešķiršanas nosacījumiem, proti, kādām personām ar īpašām vajadzībām šādas kartes var piešķirt. Tieslietu ministrijas ieskatā šāda veida pamata regulējums būtu jāiekļauj Invaliditātes likumā kā viens no atbalsta pasākumiem invaliditātes seku mazināšanai, vai arī likumā līdzīgi, kā ir noteikts likuma 30.</w:t>
            </w:r>
            <w:r w:rsidR="00000000" w:rsidRPr="00000000" w:rsidDel="00000000">
              <w:rPr>
                <w:vertAlign w:val="superscript"/>
                <w:rtl w:val="0"/>
              </w:rPr>
              <w:t xml:space="preserve">1</w:t>
            </w:r>
            <w:r w:rsidR="00000000" w:rsidRPr="00000000" w:rsidDel="00000000">
              <w:rPr>
                <w:rtl w:val="0"/>
              </w:rPr>
              <w:t xml:space="preserve"> pantā par veselības pārbaudēm transportlīdzekļu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attiecīgie punkti izstrādāti sadarbībā ar Labklājības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Papildināt noteikumus ar 200.7. un 200.8.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 braukt pa pretējā virziena brauktuvi;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210.8. braukt pa velojoslu pretēji kustības virzienam blakus esošajā brauktuvē, izņemot gadījumus, kad velojosla atdalīta no pārējās brauktuves ar 920. vai 925. ceļu apzīmējumu vai ar paaugstinātu apmali un attiecīgais braukšanas virziens ir norādīts ar 937. ceļa apzīmējumu.".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17.punktu, aizstājot apakšpunktu numerācijas skaitli "200.7." ar  skaitli "210.7", kā arī  skaitli "200.8." ar skaitli "210.8."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Izteikt 110.punktu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Lai netraucētu citus ceļu satiksmes dalībniekus, palaistu garām citu transportlīdzekli, šo noteikumu 88.punktā minētie transportlīdzekļi drīkst īslaicīgi braukt pa ceļa nomali, ja tai ir asfalta vai asfaltbetona segums. Ja ārpus apdzīvotām vietām ceļa platums vai brauktuves stāvoklis, ņemot vērā pretim braucošo transportlīdzekļu satiksmes intensitāti, neļauj apdzīt lēni braucošu, šo noteikumu 88.punktā minētie transportlīdzekļi, tā vadītājam, netraucējot citus ceļu satiksmes dalībniekus, jābrauc iespējami tuvāk ceļa (nomales) labajai malai, bet, ja aiz transportlīdzekļa ir izveidojies sastrēgums, jāaptur transportlīdzeklis un jāpalaiž garām transportlīdzekļi, kas aiz tā izveidojuši sastrēgumu.”.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 projekta 18.punktā piedāvāto 110.punkta otrā teikuma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Izteikt Noteikumu 212.</w:t>
            </w:r>
            <w:r w:rsidR="00000000" w:rsidRPr="00000000" w:rsidDel="00000000">
              <w:rPr>
                <w:vertAlign w:val="superscript"/>
                <w:rtl w:val="0"/>
              </w:rPr>
              <w:t xml:space="preserve">2 </w:t>
            </w:r>
            <w:r w:rsidR="00000000" w:rsidRPr="00000000" w:rsidDel="00000000">
              <w:rPr>
                <w:rtl w:val="0"/>
              </w:rPr>
              <w:t xml:space="preserve">punkta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2 </w:t>
            </w:r>
            <w:r w:rsidR="00000000" w:rsidRPr="00000000" w:rsidDel="00000000">
              <w:rPr>
                <w:rtl w:val="0"/>
              </w:rPr>
              <w:t xml:space="preserve">Elektroskrejriteņu vadītājiem jābrauc ar ātrumu, kas neapdraud ceļu satiksmes drošību, bet nepārsniedzot 25 km/h.””</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18. punktā paredzēts, ka elektroskrejriteņu vadītājiem jābrauc ar ātrumu, kas nepārsniedz 25 km/h. Projekta anotācijā skaidrots, ka "elektroskrejriteņu konstrukcijā paredzētais maksimālais ātrums, izmantojot dažādus tehniskus un programmatūras pielāgojumus var tikt salīdzinošie viegli modificēts. Tas nozīmē, ka likumdevējam ir jānosaka maksimālais ātrums, ar kādu elektroskrejriteņu vadītājiem jābrauc, lai nodrošinātu vispārējo drošību un mazinātu iespējamos riskus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ja tipiskam elektroskrejritenim līdzīgs transportlīdzeklis var pārsniegt ātrumu 25 km/h, tad tas normatīvi vairs nav uzskatāms par elektroskrejriteni (Ceļu satiksmes likuma 1. panta 9.</w:t>
            </w:r>
            <w:r w:rsidR="00000000" w:rsidRPr="00000000" w:rsidDel="00000000">
              <w:rPr>
                <w:vertAlign w:val="superscript"/>
                <w:rtl w:val="0"/>
              </w:rPr>
              <w:t xml:space="preserve">1</w:t>
            </w:r>
            <w:r w:rsidR="00000000" w:rsidRPr="00000000" w:rsidDel="00000000">
              <w:rPr>
                <w:rtl w:val="0"/>
              </w:rPr>
              <w:t xml:space="preserve"> punkts). Šajā ziņā projekts būtībā nemaz neierobežo maksimālo ātrumu, tas jau ir noteikts likumā. Ja vadītājs neievērotu šādu prasību, tad tam nemaz nevarētu piemērot atbildību par papildu prasību elektroskrejriteņu vadītājiem neievērošanu (ātruma pārsniegšanu ar elektroskrejriteni). Tā kā šāds transportlīdzeklis nebūtu elektroskrejritenis, tad uz to neattiektos arī elektroskrejriteņiem vai to vadītājiem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šāds ierobežojums dublē likuma regulējumu un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Papildināt noteikumus ar 15.</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Papildu prasības vadītājiem lietojot ātrgaitas ceļu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r w:rsidR="00000000" w:rsidRPr="00000000" w:rsidDel="00000000">
              <w:rPr>
                <w:vertAlign w:val="superscript"/>
                <w:rtl w:val="0"/>
              </w:rPr>
              <w:t xml:space="preserve">1</w:t>
            </w:r>
            <w:r w:rsidR="00000000" w:rsidRPr="00000000" w:rsidDel="00000000">
              <w:rPr>
                <w:rtl w:val="0"/>
              </w:rPr>
              <w:t xml:space="preserve"> Ātrgaitas ceļa lietošana, ieskaitot šķērsošanu, ir aizliegta gājējiem, dzīvnieku pārvietošanai ārpus transportlīdzekļa, velosipēdu, elektroskrejriteņu, mopēdu, traktortehnikas, pajūgu un transportlīdzekļu, kuri nevar braukt ar lielāku ātrumu par 60 km/h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r w:rsidR="00000000" w:rsidRPr="00000000" w:rsidDel="00000000">
              <w:rPr>
                <w:vertAlign w:val="superscript"/>
                <w:rtl w:val="0"/>
              </w:rPr>
              <w:t xml:space="preserve">2</w:t>
            </w:r>
            <w:r w:rsidR="00000000" w:rsidRPr="00000000" w:rsidDel="00000000">
              <w:rPr>
                <w:rtl w:val="0"/>
              </w:rPr>
              <w:t xml:space="preserve"> Piespiedu apstāšanās gadījumā uz ātrgaitas ceļa vai transportlīdzeklis jānovieto uz nomales vai speciāli šim gadījuma paredzētā apstāšanās vietā. Transportlīdzekļa vadītājam nekavējoties jāiededz avārijas gaismas signalizācija un transportlīdzekļa aizmugurē attālumā, kas ir ne mazāks par 100 m, jāizliek avārijas 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r w:rsidR="00000000" w:rsidRPr="00000000" w:rsidDel="00000000">
              <w:rPr>
                <w:vertAlign w:val="superscript"/>
                <w:rtl w:val="0"/>
              </w:rPr>
              <w:t xml:space="preserve">3</w:t>
            </w:r>
            <w:r w:rsidR="00000000" w:rsidRPr="00000000" w:rsidDel="00000000">
              <w:rPr>
                <w:rtl w:val="0"/>
              </w:rPr>
              <w:t xml:space="preserve"> Uz ātrgaitas ceļa aizliegts apstāties un stāvēt, apgriezties braukšanai pretējā virzienā, braukt atpakaļgaitā un to šķērsot."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 projekta 19.punktā piedāvāto 159.</w:t>
            </w:r>
            <w:r w:rsidR="00000000" w:rsidRPr="00000000" w:rsidDel="00000000">
              <w:rPr>
                <w:vertAlign w:val="superscript"/>
                <w:rtl w:val="0"/>
              </w:rPr>
              <w:t xml:space="preserve">2</w:t>
            </w:r>
            <w:r w:rsidR="00000000" w:rsidRPr="00000000" w:rsidDel="00000000">
              <w:rPr>
                <w:rtl w:val="0"/>
              </w:rPr>
              <w:t xml:space="preserve">punkta pirmā teikuma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17.punkts.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212.</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6</w:t>
            </w:r>
            <w:r w:rsidR="00000000" w:rsidRPr="00000000" w:rsidDel="00000000">
              <w:rPr>
                <w:rtl w:val="0"/>
              </w:rPr>
              <w:t xml:space="preserve"> Elektroskrejritenim braukšanas laikā priekšpusē deg baltas gaismas lukturis, bet aizmugurē – sarkanas gaismas lukturis. Elektroskrejriteņa vadītājam ir jābūt galvā uzvilktai aizsprādzētai aizsargķiverei. Ieteicams elektroskrejriteņa vadītājam būt tērptam augstas redzamības apģērbā ar gaismu atstarojošiem elementiem.".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279 10. punkts, piemēram, pašlaik noteic, ka diennakts tumšajā laikā, ja ceļš nav pietiekami un vienmērīgi apgaismots, gājējiem, kas atrodas uz brauktuves vai nomales, </w:t>
            </w:r>
            <w:r w:rsidR="00000000" w:rsidRPr="00000000" w:rsidDel="00000000">
              <w:rPr>
                <w:u w:val="single"/>
                <w:rtl w:val="0"/>
              </w:rPr>
              <w:t xml:space="preserve">jābūt tērptiem atstarojošā vestē vai apģērbā ar labi redzamiem gaismu atstarojoša materiāla elementiem.  </w:t>
            </w:r>
            <w:r w:rsidR="00000000" w:rsidRPr="00000000" w:rsidDel="00000000">
              <w:rPr>
                <w:rtl w:val="0"/>
              </w:rPr>
              <w:t xml:space="preserve">Arī projekta 4. punktā ietvertajā noteikumu Nr. 279. 11. punktā paredzēts, ka  personām uz ceļa jāatrodas "atstarojošā vestē vai apģērbā ar labi redzamiem gaismu atstarojoša materiāla elementiem".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analoģiski precizēt projekta 19. punktā ietverto noteikumu Nr. 279 212.</w:t>
            </w:r>
            <w:r w:rsidR="00000000" w:rsidRPr="00000000" w:rsidDel="00000000">
              <w:rPr>
                <w:vertAlign w:val="superscript"/>
                <w:rtl w:val="0"/>
              </w:rPr>
              <w:t xml:space="preserve">6 </w:t>
            </w:r>
            <w:r w:rsidR="00000000" w:rsidRPr="00000000" w:rsidDel="00000000">
              <w:rPr>
                <w:rtl w:val="0"/>
              </w:rPr>
              <w:t xml:space="preserve">punktu un izteikt to,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6</w:t>
            </w:r>
            <w:r w:rsidR="00000000" w:rsidRPr="00000000" w:rsidDel="00000000">
              <w:rPr>
                <w:rtl w:val="0"/>
              </w:rPr>
              <w:t xml:space="preserve">  Elektroskrejritenim braukšanas laikā priekšpusē deg baltas gaismas lukturis, bet aizmugurē – sarkanas gaismas lukturis. Elektroskrejriteņa vadītājam ir jābūt galvā uzvilktai aizsprādzētai aizsargķiverei. Ieteicams elektroskrejriteņa vadītājam atstarojošā vestē vai apģērbā ar labi redzamiem gaismu atstarojoša materiāla elementiem.".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Izteikt 200.3.apakšpunktu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“200.3. braukt pa ietvi, ja braukšana pa brauktuvi, ņemot vērā ceļu satiksmes intensitāti, ceļa un meteoroloģiskos apstākļus, nav iespējama, ir apgrūtināta vai bīstama. Braucot pa ietvi, velosipēdu vadītājiem jāizvēlas tāds braukšanas ātrums, lai nekādā veidā netiktu apdraudēti vai traucēti gājēji. Ja pastāv risks, ka velosipēdu vadītāji var apdraudēt vai traucēt gājējus, velosipēdu vadītājiem jābrauc ar ātrumu, kas nepārsniedz gājēju pārvietošanās ātrumu vai jāaptur velosipēds. Gājējiem, pārvietojoties pa ietvi, ir priekš­roka. Braucot pa ietvi vietās, kur velosipēdu vadītāju braukšanas trajektorijas krustojas ar pārējo transportlīdzekļu braukšanas trajektorijām, velosipēdu vadītājiem jānovērtē attālums līdz transportlīdzekļiem, kas tuvojas, kā arī jānovērtē to braukšanas ātrums un jāpārliecinās par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200.3. apakšunktā svītrot vārdus "nekādā veidā", kas būtībā rada tikai liekvārdību.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Izteikt 201.punkta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Bērniem, kas jaunāki par 16 gadiem, braucot ar velosipēdu, galvā jābūt aizsprādzētai aizsargķiverei."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6 - 12 mēnešu periodā pēc nomas spēkā stāšanās izvērtēt aktuālos datus traumatismā ar velosipēdu un nepieciešamības gadījumā aktualizēt vecuma slieksni aizsargķiveres izmantošanai, nosakot to analoģisku kā elektroskrejriteņa gadījumā, proti, vecumā līdz 17 gadu vecumam (ieskaitot).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plāno sekot līdzi traumatisma dinamikai pēc konkrētās prasības spēkā stāšanās un pēc nepieciešamo datu iegūšanas, atkārtoti izvērtēt iespējas paaugstināt vecumu līdz kuram velosipēdistiem obligāti būs jālieto aizsargķivere, piedaloties ceļu satiksmē.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Izteikt 201.punkta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Bērniem, kas jaunāki par 16 gadiem, braucot ar velosipēdu, galvā jābūt aizsprādzētai aizsargķiverei."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esošie grozījumi paredz, ka elektroskrejriteņa vadītājam vecumā no 14 līdz 17 gadiem piedaloties satiksmē ir jābūt galvā uzvilktai aizsprādzētai aizsargķiverei, savukārt velosipēdu vadītājiem tikai līdz 16 gadu vecumam, braucot ar velosipēdu, galvā jābūt aizsprādzētai aizsargķiverei.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risku mazāk aizsargāto ceļu satiksmes dalībniekiem gūt smagas galvas traumas, rosinām izvērtēt iespēju precizēt 201.punktu, nosakot, ka bērniem līdz 17 gadu vecumam, braucot ar velosipēdu, galvā jābūt uzvilktai aizsprādzētai aizsargķiverei.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Velosipēda vadītājiem vecumā līdz 17 gadiem ir jābūt galvā uzvilktai aizsprādzētai aizsargķiverei.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Vairākkārtēju tikšanos rezultātā tika panākta vienošanās ar nevalstiskajām organizācijām par aizsargķiveru lietošanu velosipēdistiem līdz 16 gadu vecumam. Ņemot vērā, ka nevalstiskās organizācijas savus iebildumus balstīja uz, viņuprāt, nepietiekamiem statistikas datiem, kas pierādītu, ka aizsargķiveres velosipēdistiem ir nepieciešamas, Satiksmes ministrija plāno sekot līdzi traumatisma dinamikai pēc konkrētās prasības spēkā stāšanās un pēc nepieciešamo datu iegūšanas, atkārtoti izvērtēt iespējas paaugstināt vecumu līdz kuram velosipēdistiem obligāti būs jālieto aizsargķivere, piedaloties ceļu satiksmē.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Izteikt 212.</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6</w:t>
            </w:r>
            <w:r w:rsidR="00000000" w:rsidRPr="00000000" w:rsidDel="00000000">
              <w:rPr>
                <w:rtl w:val="0"/>
              </w:rPr>
              <w:t xml:space="preserve"> Elektroskrejritenim braukšanas laikā priekšpusē deg baltas gaismas lukturis, bet aizmugurē – sarkanas gaismas lukturis. Elektroskrejriteņa vadītājam vecumā no 14 līdz 17 gadiem ir jābūt galvā uzvilktai aizsprādzētai aizsargķiverei. Ja lukturu nav vai tie nedarbojas, elektroskrejriteņa vadītājam jābūt tērptam atstarojošā vestē vai apģērbā ar labi redzamiem gaismu atstarojoša materiāla elementiem.".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30.punktā piedāvātājā 212.</w:t>
            </w:r>
            <w:r w:rsidR="00000000" w:rsidRPr="00000000" w:rsidDel="00000000">
              <w:rPr>
                <w:vertAlign w:val="superscript"/>
                <w:rtl w:val="0"/>
              </w:rPr>
              <w:t xml:space="preserve">6</w:t>
            </w:r>
            <w:r w:rsidR="00000000" w:rsidRPr="00000000" w:rsidDel="00000000">
              <w:rPr>
                <w:rtl w:val="0"/>
              </w:rPr>
              <w:t xml:space="preserve">punkta pirmajā teikumā vārdu "deg" ar vārdu "jādeg", tādējādi formulējot attiecīgo gaismas lukturu iedegšanu braukšanas laikā kā obligāti izpildāmu prasību.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Papildināt noteikumus ar 300.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 Noteikumu 212.</w:t>
            </w:r>
            <w:r w:rsidR="00000000" w:rsidRPr="00000000" w:rsidDel="00000000">
              <w:rPr>
                <w:vertAlign w:val="superscript"/>
                <w:rtl w:val="0"/>
              </w:rPr>
              <w:t xml:space="preserve">6</w:t>
            </w:r>
            <w:r w:rsidR="00000000" w:rsidRPr="00000000" w:rsidDel="00000000">
              <w:rPr>
                <w:rtl w:val="0"/>
              </w:rPr>
              <w:t xml:space="preserve"> punktā noteiktais pienākums elektroskrejriteņa vadītājam lietot aizsprādzētu aizsargķiverei stājas spēkā 2024.gada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noteikumus ar jaunu punktu, kas paredz ka, noteikumu 25.</w:t>
            </w:r>
            <w:r w:rsidR="00000000" w:rsidRPr="00000000" w:rsidDel="00000000">
              <w:rPr>
                <w:vertAlign w:val="superscript"/>
                <w:rtl w:val="0"/>
              </w:rPr>
              <w:t xml:space="preserve">1</w:t>
            </w:r>
            <w:r w:rsidR="00000000" w:rsidRPr="00000000" w:rsidDel="00000000">
              <w:rPr>
                <w:rtl w:val="0"/>
              </w:rPr>
              <w:t xml:space="preserve"> punktā noteiktie traktortehnikas vadītāju pienākumi, apturot traktortehniku pēc Valsts tehniskās uzraudzības aģentūras amatpersonas pieprasījuma, stājās spēkā 2024.gada 1.janvārī. 2023.gada 6.jūlijā stājās spēkā likumprojekts  “Grozījumi Ceļu satiksmes likumā”, kas paredz Ceļu satiksmes likuma 4. pantu palidināt ar 6.</w:t>
            </w:r>
            <w:r w:rsidR="00000000" w:rsidRPr="00000000" w:rsidDel="00000000">
              <w:rPr>
                <w:vertAlign w:val="superscript"/>
                <w:rtl w:val="0"/>
              </w:rPr>
              <w:t xml:space="preserve">1</w:t>
            </w:r>
            <w:r w:rsidR="00000000" w:rsidRPr="00000000" w:rsidDel="00000000">
              <w:rPr>
                <w:rtl w:val="0"/>
              </w:rPr>
              <w:t xml:space="preserve"> daļu nosakot, ka aģentūras amatpersona no 2024.gada 1.janvāra ir tiesīga apturēt ekspluatācijā esošu traktortehniku, lai kontrolētu traktortehnikas un tās piekabes tehnisko stāvokli.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300. punktu šādā redakcijā: 300. Noteikumu 25.</w:t>
            </w:r>
            <w:r w:rsidR="00000000" w:rsidRPr="00000000" w:rsidDel="00000000">
              <w:rPr>
                <w:vertAlign w:val="superscript"/>
                <w:rtl w:val="0"/>
              </w:rPr>
              <w:t xml:space="preserve">1</w:t>
            </w:r>
            <w:r w:rsidR="00000000" w:rsidRPr="00000000" w:rsidDel="00000000">
              <w:rPr>
                <w:rtl w:val="0"/>
              </w:rPr>
              <w:t xml:space="preserve"> punktā noteiktie pienākumi traktortehnikas vadītājam, kad traktortehnika tiek apturēta pēc aģentūras amatpersonas pieprasījuma, stājās spēkā 2024.gada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Divu piekabju vilkšana</w:t>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Nr. 279 179. punktā noteikts, ka traktortehnikai ar pilnu masu virs 4000 kg laikposmā no 1. aprīļa līdz 1. oktobrim atļauts vilkt divas ar darba bremzēm aprīkotas divasu vai trīsasu piekabes, bet laikposmā no 1. oktobra līdz 1. novembrim – tikai diennakts gaišajā laikā. Šāda punkta redakcija lauksaimniekiem liedz: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vienlaicīgi vilkt divas vienasu piekabes vai divas piekabes, no kurām viena ir vienasu piekabe. Praksē lauksaimnieki izmanto puspiekabes savienojumā ar velkamajiem sedlu ratiem, kas paredzēti puspiekabju vilšanai. Traktortehnikai paredzētie sedlu rati ir reģistrējami aģentūras informatīvajā sistēmā kā vienasu vai divasu piekabes, kuru uzdevums ir vilkt puspiekabes. Šāds piekabju savienojumā veids plaši tiek izmatots graudu vai augu zaļo masu transportēšanā.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vilkt divas piekabes vienlaicīgi arī tumšajā laika periodā no 1.oktobra līdz 1. novembrim un periodā no 2. novembra līdz 31. martam jebkurā laika periodā. Vedot produkciju ar vienu piekabi, tiek radīti nevajadzīgi finansiālie un laika zaudējumi, jo vienu braucienu vietā ar divām piekabēm ir jāveic divi braucieni ar vienu piekabi, kā rezultātā traktors ceļam segumam rada divkāršu noslogojumu. Braucot traktoram ar divām piekabēm vienlaikus tiktu ekonomēts laiks, degviela un ceļa noslogojums.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taupītu degvielu, kas pēdējo gadu laikā ir ievērojami sadārdzinājusies, aizvien vairāk lauksaimnieku izmanto iespēju produkciju un izejvielas pārvadāt ar divām piekabēm, tai skaitā ar vienasu ratiem lai vilktu puspiekabes, jo tas ir ātrāk, lētāk un saimniekošanu padara daudz efektīvāku. Līdz ar to, priekšlikums paredz no noteikumu Nr. 279 179. punkta svītrot nosacījumu par velkamo piekabes asu skaitu un par to, kuros mēnešos un kādā diennakts laikā drīkst vai nedrīkst ar traktortehniku vilt divas piekabes.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Laikposms no 1. oktobra līdz 1. novembrim un tikai diennakts gaišajā laikā tika noteikts tādēļ, ka rudens periodā diennakts tumšajā laikā krasi samazinās redzamība biežo klimatisko apstākļu (lietus, migla) maiņas dēļ, apdraudot ceļu satiksmes drošību uz koplietošanas ceļiem. Pēdējo desmit gadu laikā traktortehnikas un tās piekabju ražošanas standarti un normatīvie akti ir būtiski mainījušies, lai padarītu traktortehnikas un tās piekabes ekspluatāciju maksimāli drošu. Lai nodrošinātu drošu traktortehnikas un to piekabes ekspluatāciju diennakts tumšajā laikā, noteikumi Nr. 279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pievērstu citu ceļu satiksmes dalībnieku uzmanību un brīdinātu tos par iespējamām briesmām, traktortehnikas vadītājam obligāti jāiededz mirgojoša oranža (dzeltena) bākuguns, ja traktortehniku vada savienojumā ar divām piekabēm (noteikumu Nr. 279 36.4.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traktortehnikai ar pilnu masu virs 4000 kg atļauts vilkt divas ar darba bremzēm aprīkotas piekabes, un tas nozīmē, ka braukšanas laikā abām piekabēm ir jābūt aprīkotām ar darba bremzēm (noteikumu Nr. 279 179. punkts). Ja kādai piekabei nevar pieslēgt bremzes, tad ar tādu sastāvu ir aizliegts piedalīties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satiksmei bīstamas situācijas, transportlīdzekļa vadītājam ir jāizvēlas tāds ātrums, kas atbilst ceļu satiksmes intensitātei, transportlīdzekļa un kravas īpatnībām, ceļa seguma stāvoklim un meteoroloģiskajiem apstākļiem (īpaši redzamībai braukšanas virzienā). Saskaņā ar Ministru kabineta 2009.gada 13.janvāra noteikumiem Nr.30 “Noteikumi par traktortehnikas un tās piekabju valsts tehnisko apskati un tehnisko kontroli uz ceļiem” traktortehnikas piekabēm ir divi aizmugurējie trīsstūra formas atstarotāji sarkanā krāsā, divi vienādas formas atstarotāji priekšā baltā krāsā un divi atstarotāji katrā sānā vienādas formas oranžā krāsā, kā arī piekabes ir aprīkotas gan ar visām nepieciešamajām (gabarītu, bremžu, pagrieziena rādītāju, numura) darba gaismām, gan ar darba bremzēm. Tādējādi traktortehnikas sastāvs ar divām piekabēm ir pietiekami drošs ekspluatācijā visa gada garumā, arī diennakts tumšajā laikaposmā.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Traktortehnikas maksimālā braukšanas ātruma noteikšana</w:t>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Nr.279 neparedz maksimālo traktortehnikas braukšanas ātrumu ārpus apdzīvotām vietām, tādejādi traktortehnika netiek pakļauta maksimālā braukšanas ātruma ierobežojumam.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tirgū ir pieejami specializēti ātrgaitas traktori, kuru maksimālais braukšanas ātrums pārsniedz 70 km/h un var sasniegt pat līdz 90 km/h lielu ātrumu. Šādi traktori pamatā ir paredzēti transportēšanas darbiem, kas nonāk pretrunā ar Ceļu satiksmes likuma 1.panta 21.punktu, kas nosaka, ka traktortehnikas izmantošana cilvēku vai kravu pārvadāšanai pa ceļiem vai cilvēku vai kravu pārvadāšanai izmantojamu transportlīdzekļu vilkšanai pa ceļiem ir tikai sekundāra funkcija.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Eiropas Savienības dalībvalstis, kurās ir atļauts kravas automobiļus pielāgot un aprīkot lauksaimniecības vai mežsaimniecības darbiem, kas pēc atbilstības novērtēšanas tiek reģistrēti kā traktori. Piemēram, šāda prakse plaši tiek izmantota Vācijā, Beļģijā un Dānijā, kur kravas automobilis, kurš pielāgots un aprīkots lauksaimniecības vai mežsaimniecības darbiem, tiek pielīdzināts traktortehnikai, lai saņemtu iespējamos atvieglojumus un ieguvumus saistībā ar lauksaimniecisko ražošanu.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minētie transportlīdzekļi, pamatā - sedlu vilcēji, līdz 2020.gada 31.martam, tika reģistrēti arī aģentūras valsts informācijas sistēmā “Traktortehnikas un tās vadītāju valsts informatīvā sistēma” (turpmāk – informatīvā sistēma) kā traktortehnika. Ņemot vērā to, ka šie transportlīdzekļi ir reģistrēti kā traktortehnika, tie neapkļaujas maksimālā braukšanas ātruma ierobežojuma nosacījumiem ārpus apdzīvotām vietām un rada draudus kopējai ceļu satiksmes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to, ka traktortehnika ar palielinātiem ātrumiem neradītu draudus kopējai ceļu satiksmes drošībai, ir nepieciešams noteikumus Nr. 279 papildināt ar jaunu 101.3. apakšpunktu, kas noteiktu, ka traktortehnikas maksimāls braukšanas ātrums ārpus apdzīvotām vietām nedrīkst pārsniegt 60 km/h.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traktortehnikas maksimālo braukšanas ātrumu 60 km/h ir ņemti vērā sekojoši faktori: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Eiropas Parlamenta un Padomes Regulas (ES) Nr. 167/2013 par lauksaimniecības un mežsaimniecības transportlīdzekļu apstiprināšanu un tirgus uzraudzību noteiktajām atbilstības prasībām traktoriem un to piekabēm projektētais maksimālais ātrums tiek noteikts sekojošā intervālā: līdz 40 km/h, 40 – 60 km/h un virs 60 km/h. Traktoriem un to piekabēm, kuru projektētais ātrums ir lielāks par 60 km/h tiek piemērotas stingrākas tehniskās prasības, piemēram, prasības par ABS bremzēšanas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Traktortehnikas un tās piekabju valsts tehnisko apskašu laikā traktortehnikai un tās piekabēm bremzēšanas efektivitātes pārbaudes, tai skaitā ABS, netiek veiktas uz specializētiem bremžu stendiem;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Lauksaimniecības produkcijas ražošanai izmantotie ceļi pamatā nav piemēroti traktortehnikai, kuru projektētais ātrums pārsniedz 60 km/h;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Kopumā traktortehnikas maksimālais braukšanas ātrums nepārsniedz 60 km/h, izņemot uz automobiļu bāzes pielāgotos transportlīdzekļus, kuri reģistrēti informatīvajā sistēmā kā traktortehnika un kas pamatā ir šo grozījumu mērķa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Traktortehnikas un tās piekabes reģistrācijas apliecības sadaļā: “Piezīmes”, automobiļu bāzes transportlīdzekļiem ir norādīts, ka to atļautais braukšanas ātrums nedrīkst pārsniegt 60 km/h, bet tam ir tikai informatīvs raksturs, ko šo transportlīdzekļu vadītāji ļoti bieži neievēro. Arī citās dalībvalstīs šādu transportlīdzekļu maksimālais braukšanas ātrums ar normatīvajiem aktiem ir ierobežots līdz 60 km/h.</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Pienākums transportlīdzekļa vadītājam apturēt traktortehniku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Saeimas 2023.gada 22.jūnija sēdē trešajā lasījumā tika apstiprināts likumprojekts “Grozījumi Ceļu satiksmes likumā” (61/Lp14) (turpmāk – likumprojekts), kas paredz Ceļu satiksmes likuma 4. pantu palidināt ar 6.</w:t>
            </w:r>
            <w:r w:rsidR="00000000" w:rsidRPr="00000000" w:rsidDel="00000000">
              <w:rPr>
                <w:vertAlign w:val="superscript"/>
                <w:rtl w:val="0"/>
              </w:rPr>
              <w:t xml:space="preserve">1</w:t>
            </w:r>
            <w:r w:rsidR="00000000" w:rsidRPr="00000000" w:rsidDel="00000000">
              <w:rPr>
                <w:rtl w:val="0"/>
              </w:rPr>
              <w:t xml:space="preserve"> daļu nosakot, ka Valsts tehniskās uzraudzības aģentūras (turpmāk arī – aģentūra) amatpersona ir tiesīga apturēt ekspluatācijā esošu traktortehniku, lai kontrolētu traktortehnikas un tās piekabes tehnisko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2015.gada 2.jūnija noteikumu Nr. 279 „Ceļu satiksmes noteikumi”” (turpmāk – Noteikumi Nr. 279) 25.7.apakšpunkts transportlīdzekļa vadītājam uzliek par pienākumu apturēt transportlīdzekli pēc policijas darbinieka, robežsarga, pašvaldības transporta kontroles dienesta amatpersonas vai muitas amatpersonas dotajām norādēm. Savukārt Noteikumu Nr.279 25.9.apakšpunkts uzliek par pienākumu transportlīdzekļu vadītājam pakļauties kompetentās iestādes amatpersonu veiktajām pārbaudēm, tām veicot normatīvajos aktos noteiktās uzraudzības un kontroles funkcijas, kā arī prasībai nogādāt transportlīdzekli kontroles veikšanas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likumprojekts paredz tiesības aģentūras amatpersonām apturēt traktortehniku uz ceļiem tehnisko kontroļu veikšanai, noteikumu Nr.279 25.7. un 25.9 apakšpunktam būtu jāparedz pienākums transportlīdzekļa vadītājam apturēt traktortehniku pēc aģentūras inspektora dotajām norādēm, kā arī nogādāt transportlīdzekli kontroles veikšanas vietā, ja ceļa ierobežotā platuma dēļ tehnisko kontroli droši nevar veikt vietā, kur transportlīdzeklis ir apturēts. Tādā gadījumā transportlīdzeklis tiks nogādāts vietā, kur tehniskās kontroles veikšana neradīs apdraudējumu citiem ceļu satiksmes dalībniekiem un aģentūras inspektoru drošībai.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traktortehnikas vadītājs pakļautos aģentūras inspektora dotajām norādēm, ir nepieciešams precizēt noteikumu Nr. 279 25.7 un 25.9.apakšpunktu, papildinot kompetento iestāžu uzskaitījumu ar Valsts tehnisko uzraudzības 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"Gājēju drošība"lūdzam precizēt otrās rindkopas tekstu "ir atļauts pārvietoties pa brauktuves malu vienā rindā pārvietoties arī vairāk nekā vienā rindā".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22-TA-2915</w:t>
    </w:r>
    <w:r>
      <w:br/>
    </w:r>
    <w:r w:rsidR="00000000" w:rsidRPr="00000000" w:rsidDel="00000000">
      <w:rPr>
        <w:rtl w:val="0"/>
      </w:rPr>
      <w:t xml:space="preserve">23.01.2024. 13.51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22-TA-2915</w:t>
    </w:r>
    <w:r>
      <w:br/>
    </w:r>
    <w:r w:rsidR="00000000" w:rsidRPr="00000000" w:rsidDel="00000000">
      <w:rPr>
        <w:rtl w:val="0"/>
      </w:rPr>
      <w:t xml:space="preserve">23.01.2024. 13.51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Izziņa_22-TA-2915.docx</dc:title>
</cp:coreProperties>
</file>

<file path=docProps/custom.xml><?xml version="1.0" encoding="utf-8"?>
<Properties xmlns="http://schemas.openxmlformats.org/officeDocument/2006/custom-properties" xmlns:vt="http://schemas.openxmlformats.org/officeDocument/2006/docPropsVTypes"/>
</file>