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24-TA-840: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(27.02.2024.)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apliecinājumu par Komisijas regulas Nr. </w:t>
            </w:r>
            <w:r w:rsidR="00000000" w:rsidRPr="00000000" w:rsidDel="00000000">
              <w:rPr>
                <w:rtl w:val="0"/>
              </w:rPr>
              <w:t xml:space="preserve">651/2014</w:t>
            </w:r>
            <w:r w:rsidR="00000000" w:rsidRPr="00000000" w:rsidDel="00000000">
              <w:rPr>
                <w:rtl w:val="0"/>
              </w:rPr>
              <w:t xml:space="preserve"> 2. panta 18. punkta "c" apakšpunktā ietvertā nosacījuma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16.3., 31.3.6.un 42.1.apakšpunktu ar nosacījumu, ka Komisijas regulas Nr.651/2014 1.panta 4.punkta un 2.panta 18.punkta nosacījumi ir jāvērtē/jāpiemēro uzņēmuma grupas līmenī (Komisijas regulas Nr.651/2014 angliskajā versijā nosacījumi, kas ir attiecināmi uz ‘undertaking’, ir jāpārbauda/jāpiemēro uzņēmuma grupas līmenī), attiecīgi lūdzam noteikumu projektu precizēt tā, lai nodrošinātu, ka ar terminu "komersants" tiek saprasts, ka komersants tiek vērtēts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kā arī papildināta anotācija ar atbilstošu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apliecinājumu par Komisijas regulas Nr. </w:t>
            </w:r>
            <w:r w:rsidR="00000000" w:rsidRPr="00000000" w:rsidDel="00000000">
              <w:rPr>
                <w:rtl w:val="0"/>
              </w:rPr>
              <w:t xml:space="preserve">651/2014</w:t>
            </w:r>
            <w:r w:rsidR="00000000" w:rsidRPr="00000000" w:rsidDel="00000000">
              <w:rPr>
                <w:rtl w:val="0"/>
              </w:rPr>
              <w:t xml:space="preserve"> 2. panta 18. punkta "c" apakšpunktā ietvertā nosacījuma ievērošanu. Ja projekta iesniedzējs ir komersants, komersantu vērtē tā saistītās grupas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anotāciju ar izvērtējumu par tiesību akta grozījumu iespējamo ietekmi uz iespējamo mērķa grupu un attiecīgi - tās iespējamo ierobežošanu, nosakot tiesisko vai ieguldījumu risku izvērtējumu.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veikti precizējumi anotācijā, norādot, ka grozījumi neradīs ietekmi uz tautsaimniecību, ņemot vērā, ka ar noteikumu projektā veicamiem precizējumiem principa “nenodarīt būtisku kaitējumu” atbilstošai piemērošanai atbalsta sniegšana projektu iesniedzēju plānotajām darbībām netiks ietekmēta.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izvērstāk skaidrot projektā paredzēto noteikumu 32. punkta apakšpunktu grozījumu piemērošanu un ietekmi uz finansējuma saņēmējiem un jau uzsāktajiem projektiem, ja tādi ir. Citastarp lūdzam skaidrot projekta 3. punktā izteiktā noteikumu 32.3. apakšpunkta, īpaši norādes "</w:t>
            </w:r>
            <w:r w:rsidR="00000000" w:rsidRPr="00000000" w:rsidDel="00000000">
              <w:rPr>
                <w:i w:val="1"/>
                <w:rtl w:val="0"/>
              </w:rPr>
              <w:t xml:space="preserve">par ko pētniecības projekta </w:t>
            </w:r>
            <w:r w:rsidR="00000000" w:rsidRPr="00000000" w:rsidDel="00000000">
              <w:rPr>
                <w:i w:val="1"/>
                <w:u w:val="single"/>
                <w:rtl w:val="0"/>
              </w:rPr>
              <w:t xml:space="preserve">noslēgumā</w:t>
            </w:r>
            <w:r w:rsidR="00000000" w:rsidRPr="00000000" w:rsidDel="00000000">
              <w:rPr>
                <w:i w:val="1"/>
                <w:rtl w:val="0"/>
              </w:rPr>
              <w:t xml:space="preserve"> ir sniegti pierādījumi iekārtu līmenī</w:t>
            </w:r>
            <w:r w:rsidR="00000000" w:rsidRPr="00000000" w:rsidDel="00000000">
              <w:rPr>
                <w:rtl w:val="0"/>
              </w:rPr>
              <w:t xml:space="preserve">", piemērošanu kopsakarā ar 32. punkta ievaddaļā minēto, ka "</w:t>
            </w:r>
            <w:r w:rsidR="00000000" w:rsidRPr="00000000" w:rsidDel="00000000">
              <w:rPr>
                <w:i w:val="1"/>
                <w:rtl w:val="0"/>
              </w:rPr>
              <w:t xml:space="preserve">[..] investīcijas ietvaros Atveseļošanas fonda </w:t>
            </w:r>
            <w:r w:rsidR="00000000" w:rsidRPr="00000000" w:rsidDel="00000000">
              <w:rPr>
                <w:i w:val="1"/>
                <w:u w:val="single"/>
                <w:rtl w:val="0"/>
              </w:rPr>
              <w:t xml:space="preserve">finansējumu nepiešķir</w:t>
            </w:r>
            <w:r w:rsidR="00000000" w:rsidRPr="00000000" w:rsidDel="00000000">
              <w:rPr>
                <w:i w:val="1"/>
                <w:rtl w:val="0"/>
              </w:rPr>
              <w:t xml:space="preserve"> šādām darbībām [..]</w:t>
            </w:r>
            <w:r w:rsidR="00000000" w:rsidRPr="00000000" w:rsidDel="00000000">
              <w:rPr>
                <w:rtl w:val="0"/>
              </w:rPr>
              <w:t xml:space="preserve">". Proti, aicinām skaidrot normas praktisko piemērošanu un to, kad tieši vērtē attiecīgo prasību.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papildināta anotācija ar skaidrojumu, ka noteikumu projekts neradīs ietekmi uz atbalsta saņēmējiem, ņemot vērā, ka ar noteikumu projektā veicamiem precizējumiem principa “nenodarīt būtisku kaitējumu” atbilstošai piemērošanai, atbalsta sniegšana projektu iesniedzēju plānotajām darbībām netiks ietekmēta. Vienlaikus noteikumu projekts papildināts ar skaidrojumu par 32.3. apakšpunktā iekļautās informācijas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projektu iesniegumu atlase jau ir notikusi, lūdzam veikt teikumā "Projektu iesniegumu atlase notiks no 2024.gada 2.aprīļa līdz 2025.gada 30. aprīlim" pareizu laika lietošanu.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 attiecībā uz projektu iesniegumu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iesniedzējam būs nepieciešams iesniegt precizētu ar projekta iesniegumu saistīto dokumentāciju, lūdzam papildināt anotāciju ar nosacījumu, ka projekta iesniedzējs tiks informēts par veiktajiem grozījumiem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anotācija papildināta ar nosacījumu, ka projekta iesniedzējs tiks informēts par veiktajiem grozījumiem MK noteikumos. Vienlaikus anotācijā iekļauta informācija, ka noteikumu projekts neradīs ietekmi uz atbalsta saņēmējiem, ņemot vērā, ka ar noteikumu projektā veicamiem precizējumiem principa “nenodarīt būtisku kaitējumu” atbilstošai piemērošanai, atbalsta sniegšana projektu iesniedzēju plānotajām darbībām netiks ietekmēta.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 sadaļā veiktos precizējumus, izvērtējot, vai noteikumu projektam tiešām nav nevienas ietekmējamās sabiedrības grupas. Vēršam uzmanību, ka, pamatojoties uz noteikumu projekta redakciju, tas, projektu konkursu ietvaros, ietekmē/ var ietekmēt Modernizācijas fonda finansējuma saņēmējus (fiziskas un juridiskas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2. sadaļā,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veikt nepieciešamos precizējumus ņemot vērā, ka ar atsevišķiem noteikumu projekta punktiem ieviestas Komisijas 2014. gada 17. jūnija Regulas (ES) Nr. 651/2014, ar ko noteiktas atbalsta kategorijas atzīst par saderīgām ar iekšējo tirgu, piemērojot Līguma 107. un 108. pantu (turpmāk – regula Nr. 651/2014) tiesību normas, savukārt anotācijas 5. sadaļā norādīts, ka noteikumu projekts neskar starptautiskās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iesakām skaidrot, ka noteikumu projekts skar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jau iepriekš ieviestās regulas 651/2014 vienības un noteikumu projekts nekādā veidā neietekmē regulas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veikts precizējums,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pētniecības 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sīko (mikro), mazo vai vidējo komersantu, un viens komersants nesedz vairāk par 70 procentiem no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Ministru kabineta noteikumu 55.1. un 55.2. apakšpunkts nebūtu dzēšams, ņemot vērā, ka investīcijas ceturtās kārtas ietvaros projektu nav plānots īstenot kopā ar sadarbības partneri, tādējādi efektīvas sadarbības situācija, kur katrs no partneriem sedz daļu no attiecināmajām izmaksām, nevar iestāties. Līdz ar to faktiski uz atbalsta intensitātes paaugstināšanu saskaņā ar 55.1. un 55.2. apakšpunktiem šajā investīcijas kārtā nav iespējams pretendēt un minētie apakšpunkti rada maldinošu iespaidu. Tomēr projektu iesniedzējiem aizvien ir iespēja pretendēt uz paaugstinātu atbalsta intensitāti, ja tiek izpildīti citi noteikumu 55. un 56. punktā minētie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priekšlikumu un skaidro, ka ar efektīvu sadarbību saprotami projekti, kas tiek īstenoti sadarbībā ar sadarbībā ar citiem komersantiem vai pētniecības un zināšanu izplatīšanas organizācijas pārstāvjiem. Vienlaikus informācija, kas attiecināma uz efektīvas sadarbības uzraudzību nodrošināma finansējuma saņēmēja pusē, attiecīgi izmaksas attiecināmas par finansējuma saņēmēja aktivitātēm, neatkarīgi, vai tās būtu paša finansējuma saņēmēja, vai kopā ar komersantu vai pētniecības un zināšanu izplatīšanas organizācijām, attiecīgi kā saistības tiek izpildītas ir finansējuma saņēmēja kompetences jautājums. Līdz ar iepriekšminēto, MK noteikumu 55.1. un 55.2. apakšpunkts nebūtu dzēšami.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pētniecības 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sīko (mikro), mazo vai vidējo komersantu, un viens komersants nesedz vairāk par 70 procentiem no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Projekta īstenošanas laikā atbalsta saņēmējs var saņemt avansa maksājumu, kas nepārsniedz 30 procentus no kopējā projekta publiskā finansējuma apmēra, pamatojot tā sasaisti ar projekta ietvaros noteikto rādītāju izpildes progresu atbilstoši šo noteikumu </w:t>
            </w:r>
            <w:r w:rsidR="00000000" w:rsidRPr="00000000" w:rsidDel="00000000">
              <w:rPr>
                <w:rtl w:val="0"/>
              </w:rPr>
              <w:t xml:space="preserve">6.</w:t>
            </w:r>
            <w:r w:rsidR="00000000" w:rsidRPr="00000000" w:rsidDel="00000000">
              <w:rPr>
                <w:rtl w:val="0"/>
              </w:rPr>
              <w:t xml:space="preserve"> punktam</w:t>
            </w:r>
            <w:r w:rsidR="00000000" w:rsidRPr="00000000" w:rsidDel="00000000">
              <w:rPr>
                <w:rtl w:val="0"/>
              </w:rPr>
              <w:t xml:space="preserve">. Ja atbalsta saņēmējs vēlas saņemt vairākus avansus, tad nākamo avansu var saņemt pēc tam, kad iepriekšējais ir apgūts pilnā apmērā. Kopējā avansa un starpposma maksājumu kopsumma nedrīkst pārsniegt 90 procentus no kopējā projektam piešķirtā finansējuma. Noslēguma maksājumu iespējams saņemt tad, kad avansa un starpposma maksājumi kopsummā apgūti 90 procentu apmērā. Aģentūra noslēguma maksājumu izmaksā pēc projektā visu paredzēto darbību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teksta daļu "Noslēguma maksājumu iespējams saņemt tad, kad avansa un starpposma maksājumi kopsummā apgūti 90 procentu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Projekta īstenošanas laikā atbalsta saņēmējs var saņemt avansa maksājumu, kas nepārsniedz 30 procentus no kopējā projekta publiskā finansējuma apmēra, pamatojot tā sasaisti ar projekta ietvaros noteikto rādītāju izpildes progresu atbilstoši šo noteikumu 6. punktam. Ja atbalsta saņēmējs vēlas saņemt vairākus avansus, tad nākamo avansu var saņemt pēc tam, kad iepriekšējais ir apgūts pilnā apmērā. Kopējā avansa un starpposma maksājumu kopsumma nedrīkst pārsniegt 90 procentus no kopējā projektam piešķirtā finansējuma. Aģentūra noslēguma maksājumu izmaksā pēc projektā visu paredzēto darbību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punktā veikts precizējums, saskaņā ar saņemto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Projekta īstenošanas laikā atbalsta saņēmējs var saņemt avansa maksājumu, kas nepārsniedz 30 procentus no kopējā projekta publiskā finansējuma apmēra, pamatojot tā sasaisti ar projekta ietvaros noteikto rādītāju izpildes progresu atbilstoši šo noteikumu </w:t>
            </w:r>
            <w:r w:rsidR="00000000" w:rsidRPr="00000000" w:rsidDel="00000000">
              <w:rPr>
                <w:rtl w:val="0"/>
              </w:rPr>
              <w:t xml:space="preserve">6.</w:t>
            </w:r>
            <w:r w:rsidR="00000000" w:rsidRPr="00000000" w:rsidDel="00000000">
              <w:rPr>
                <w:rtl w:val="0"/>
              </w:rPr>
              <w:t xml:space="preserve"> punktam</w:t>
            </w:r>
            <w:r w:rsidR="00000000" w:rsidRPr="00000000" w:rsidDel="00000000">
              <w:rPr>
                <w:rtl w:val="0"/>
              </w:rPr>
              <w:t xml:space="preserve">. Ja atbalsta saņēmējs vēlas saņemt vairākus avansus, tad nākamo avansu var saņemt pēc tam, kad iepriekšējais ir apgūts pilnā apmērā. Kopējā avansa un starpposma maksājumu kopsumma nedrīkst pārsniegt 90 procentus no kopējā projektam piešķirtā finansējuma. Aģentūra noslēguma maksājumu izmaksā pēc projektā visu paredzēto darbību pabeigšanas.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Projekta īstenošanas laikā atbalsta saņēmējs var saņemt avansa maksājumu, kas nepārsniedz 30 procentus no kopējā projekta publiskā finansējuma apmēra, pamatojot tā sasaisti ar projekta ietvaros noteikto rādītāju izpildes progresu atbilstoši šo noteikumu </w:t>
            </w:r>
            <w:r w:rsidR="00000000" w:rsidRPr="00000000" w:rsidDel="00000000">
              <w:rPr>
                <w:rtl w:val="0"/>
              </w:rPr>
              <w:t xml:space="preserve">6.</w:t>
            </w:r>
            <w:r w:rsidR="00000000" w:rsidRPr="00000000" w:rsidDel="00000000">
              <w:rPr>
                <w:rtl w:val="0"/>
              </w:rPr>
              <w:t xml:space="preserve"> punktam</w:t>
            </w:r>
            <w:r w:rsidR="00000000" w:rsidRPr="00000000" w:rsidDel="00000000">
              <w:rPr>
                <w:rtl w:val="0"/>
              </w:rPr>
              <w:t xml:space="preserve">. Ja atbalsta saņēmējs vēlas saņemt vairākus avansus, tad nākamo avansu var saņemt pēc tam, kad iepriekšējais ir apgūts pilnā apmērā. Kopējā avansa un starpposma maksājumu kopsumma nedrīkst pārsniegt 90 procentus no kopējā projektam piešķirtā finansējuma. Noslēguma maksājumu iespējams saņemt tad, kad avansa un starpposma maksājumi kopsummā apgūti 90 procentu apmērā. Aģentūra noslēguma maksājumu izmaksā pēc projektā visu paredzēto darbību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pievienot papildu skaidrojumu par MK noteikumu 68. punktā norādīto teksta daļu "Noslēguma maksājumu iespējams saņemt tad, kad avansa un starpposma maksājumi kopsummā apgūti 90 procentu apmērā" - lūdzam skaidrot, kāda būtu aģentūras rīcība un kādas sekas iestātos finansējuma saņēmējam, ja avansa un starpposma maksājumu kopsummas apguve nesasniedz 90 procentus?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izskatījusi priekšlikumu un skaidro, ka minētā informācija par aģentūras rīcību un sekām atbalsta saņēmējam priekšlikumā minētajā gadījumā atrunājama līgumā starp aģentūru un atbalsta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24-TA-840</w:t>
    </w:r>
    <w:r>
      <w:br/>
    </w:r>
    <w:r w:rsidR="00000000" w:rsidRPr="00000000" w:rsidDel="00000000">
      <w:rPr>
        <w:rtl w:val="0"/>
      </w:rPr>
      <w:t xml:space="preserve">17.07.2024. 16.45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24-TA-840</w:t>
    </w:r>
    <w:r>
      <w:br/>
    </w:r>
    <w:r w:rsidR="00000000" w:rsidRPr="00000000" w:rsidDel="00000000">
      <w:rPr>
        <w:rtl w:val="0"/>
      </w:rPr>
      <w:t xml:space="preserve">17.07.2024. 16.45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Izziņa_24-TA-840.docx</dc:title>
</cp:coreProperties>
</file>

<file path=docProps/custom.xml><?xml version="1.0" encoding="utf-8"?>
<Properties xmlns="http://schemas.openxmlformats.org/officeDocument/2006/custom-properties" xmlns:vt="http://schemas.openxmlformats.org/officeDocument/2006/docPropsVTypes"/>
</file>