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2500" w14:textId="77777777" w:rsidR="00063766" w:rsidRPr="0069016B" w:rsidRDefault="00063766" w:rsidP="00063766">
      <w:pPr>
        <w:ind w:right="962"/>
        <w:jc w:val="center"/>
        <w:rPr>
          <w:b/>
          <w:color w:val="000000"/>
        </w:rPr>
      </w:pPr>
      <w:r w:rsidRPr="0069016B">
        <w:rPr>
          <w:b/>
          <w:color w:val="000000"/>
        </w:rPr>
        <w:t xml:space="preserve">Izziņa par atzinumos sniegtajiem iebildumiem </w:t>
      </w:r>
      <w:r>
        <w:rPr>
          <w:b/>
          <w:color w:val="000000"/>
        </w:rPr>
        <w:t>“</w:t>
      </w:r>
      <w:r w:rsidRPr="00063766">
        <w:rPr>
          <w:b/>
          <w:color w:val="000000"/>
        </w:rPr>
        <w:t>Par informatīvo ziņoju</w:t>
      </w:r>
      <w:r>
        <w:rPr>
          <w:b/>
          <w:color w:val="000000"/>
        </w:rPr>
        <w:t>mu “</w:t>
      </w:r>
      <w:r w:rsidRPr="00063766">
        <w:rPr>
          <w:b/>
          <w:color w:val="000000"/>
        </w:rPr>
        <w:t>Par brīvprātīgo ugunsdzēsēju organizāciju un pašvaldību ugunsdzēsības dienestu pilotprojekta rezultātiem un tālāko rīcību brīvprātīgo ugunsdzēsēju organizāciju un pašvaldību ug</w:t>
      </w:r>
      <w:r>
        <w:rPr>
          <w:b/>
          <w:color w:val="000000"/>
        </w:rPr>
        <w:t>unsdzēsības dienestu attīstībai”</w:t>
      </w:r>
      <w:r w:rsidRPr="0069016B">
        <w:rPr>
          <w:b/>
          <w:color w:val="000000"/>
        </w:rPr>
        <w:t xml:space="preserve"> (VSS-</w:t>
      </w:r>
      <w:r w:rsidR="000A320F">
        <w:rPr>
          <w:b/>
          <w:color w:val="000000"/>
        </w:rPr>
        <w:t>726</w:t>
      </w:r>
      <w:r w:rsidRPr="0069016B">
        <w:rPr>
          <w:b/>
          <w:color w:val="000000"/>
        </w:rPr>
        <w:t>)</w:t>
      </w:r>
    </w:p>
    <w:p w14:paraId="7F735434" w14:textId="77777777" w:rsidR="00063766" w:rsidRPr="0069016B" w:rsidRDefault="00063766" w:rsidP="00063766">
      <w:pPr>
        <w:pStyle w:val="naislab"/>
        <w:spacing w:before="0" w:after="0"/>
        <w:ind w:firstLine="720"/>
        <w:jc w:val="center"/>
        <w:rPr>
          <w:b/>
          <w:color w:val="000000"/>
          <w:sz w:val="28"/>
          <w:szCs w:val="28"/>
        </w:rPr>
      </w:pPr>
    </w:p>
    <w:p w14:paraId="06723B9E" w14:textId="77777777" w:rsidR="00063766" w:rsidRPr="0069016B" w:rsidRDefault="00063766" w:rsidP="00063766">
      <w:pPr>
        <w:pStyle w:val="naisf"/>
        <w:spacing w:before="0" w:after="0"/>
        <w:ind w:firstLine="0"/>
        <w:jc w:val="center"/>
        <w:rPr>
          <w:b/>
          <w:color w:val="000000"/>
        </w:rPr>
      </w:pPr>
      <w:r w:rsidRPr="0069016B">
        <w:rPr>
          <w:b/>
          <w:color w:val="000000"/>
        </w:rPr>
        <w:t>I. Jautājumi, par kuriem saskaņošanā vienošanās nav panākta</w:t>
      </w:r>
    </w:p>
    <w:p w14:paraId="6765BF17" w14:textId="77777777" w:rsidR="00063766" w:rsidRPr="0069016B" w:rsidRDefault="00063766" w:rsidP="00063766">
      <w:pPr>
        <w:pStyle w:val="naisf"/>
        <w:spacing w:before="0" w:after="0"/>
        <w:ind w:firstLine="720"/>
        <w:rPr>
          <w:color w:val="000000"/>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094"/>
        <w:gridCol w:w="4110"/>
        <w:gridCol w:w="3969"/>
        <w:gridCol w:w="1418"/>
        <w:gridCol w:w="1969"/>
      </w:tblGrid>
      <w:tr w:rsidR="00063766" w:rsidRPr="0069016B" w14:paraId="62B90C01" w14:textId="77777777" w:rsidTr="00AD25EB">
        <w:tc>
          <w:tcPr>
            <w:tcW w:w="708" w:type="dxa"/>
            <w:tcBorders>
              <w:top w:val="single" w:sz="6" w:space="0" w:color="000000"/>
              <w:left w:val="single" w:sz="6" w:space="0" w:color="000000"/>
              <w:bottom w:val="single" w:sz="6" w:space="0" w:color="000000"/>
              <w:right w:val="single" w:sz="6" w:space="0" w:color="000000"/>
            </w:tcBorders>
            <w:vAlign w:val="center"/>
          </w:tcPr>
          <w:p w14:paraId="4560B304" w14:textId="77777777" w:rsidR="00063766" w:rsidRPr="0069016B" w:rsidRDefault="00063766" w:rsidP="00AD25EB">
            <w:pPr>
              <w:pStyle w:val="naisc"/>
              <w:spacing w:before="0" w:after="0"/>
              <w:rPr>
                <w:color w:val="000000"/>
                <w:sz w:val="22"/>
                <w:szCs w:val="22"/>
              </w:rPr>
            </w:pPr>
            <w:r w:rsidRPr="0069016B">
              <w:rPr>
                <w:color w:val="000000"/>
                <w:sz w:val="22"/>
                <w:szCs w:val="22"/>
              </w:rPr>
              <w:t>Nr. p.k.</w:t>
            </w:r>
          </w:p>
        </w:tc>
        <w:tc>
          <w:tcPr>
            <w:tcW w:w="2094" w:type="dxa"/>
            <w:tcBorders>
              <w:top w:val="single" w:sz="6" w:space="0" w:color="000000"/>
              <w:left w:val="single" w:sz="6" w:space="0" w:color="000000"/>
              <w:bottom w:val="single" w:sz="6" w:space="0" w:color="000000"/>
              <w:right w:val="single" w:sz="6" w:space="0" w:color="000000"/>
            </w:tcBorders>
            <w:vAlign w:val="center"/>
          </w:tcPr>
          <w:p w14:paraId="29C07C3E" w14:textId="77777777" w:rsidR="00063766" w:rsidRPr="0069016B" w:rsidRDefault="00063766" w:rsidP="00AD25EB">
            <w:pPr>
              <w:pStyle w:val="naisc"/>
              <w:spacing w:before="0" w:after="0"/>
              <w:ind w:firstLine="12"/>
              <w:rPr>
                <w:color w:val="000000"/>
                <w:sz w:val="22"/>
                <w:szCs w:val="22"/>
              </w:rPr>
            </w:pPr>
            <w:r w:rsidRPr="0069016B">
              <w:rPr>
                <w:color w:val="000000"/>
                <w:sz w:val="22"/>
                <w:szCs w:val="22"/>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tcPr>
          <w:p w14:paraId="586B1D8E" w14:textId="77777777" w:rsidR="00063766" w:rsidRPr="0069016B" w:rsidRDefault="00063766" w:rsidP="00AD25EB">
            <w:pPr>
              <w:pStyle w:val="naisc"/>
              <w:spacing w:before="0" w:after="0"/>
              <w:ind w:right="3"/>
              <w:rPr>
                <w:color w:val="000000"/>
                <w:sz w:val="22"/>
                <w:szCs w:val="22"/>
              </w:rPr>
            </w:pPr>
            <w:r w:rsidRPr="0069016B">
              <w:rPr>
                <w:color w:val="000000"/>
                <w:sz w:val="22"/>
                <w:szCs w:val="22"/>
              </w:rPr>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14:paraId="2059B1EC" w14:textId="77777777" w:rsidR="00063766" w:rsidRPr="0069016B" w:rsidRDefault="00063766" w:rsidP="00AD25EB">
            <w:pPr>
              <w:pStyle w:val="naisc"/>
              <w:spacing w:before="0" w:after="0"/>
              <w:ind w:firstLine="21"/>
              <w:rPr>
                <w:color w:val="000000"/>
                <w:sz w:val="22"/>
                <w:szCs w:val="22"/>
              </w:rPr>
            </w:pPr>
            <w:r w:rsidRPr="0069016B">
              <w:rPr>
                <w:color w:val="000000"/>
                <w:sz w:val="22"/>
                <w:szCs w:val="22"/>
              </w:rPr>
              <w:t>Atbildīgās ministrijas pamatojums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2C0B5C57" w14:textId="77777777" w:rsidR="00063766" w:rsidRPr="0069016B" w:rsidRDefault="00063766" w:rsidP="00AD25EB">
            <w:pPr>
              <w:jc w:val="center"/>
              <w:rPr>
                <w:color w:val="000000"/>
                <w:sz w:val="22"/>
                <w:szCs w:val="22"/>
              </w:rPr>
            </w:pPr>
            <w:r w:rsidRPr="0069016B">
              <w:rPr>
                <w:color w:val="000000"/>
                <w:sz w:val="22"/>
                <w:szCs w:val="22"/>
              </w:rPr>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4AE23286" w14:textId="77777777" w:rsidR="00063766" w:rsidRPr="0069016B" w:rsidRDefault="00063766" w:rsidP="00AD25EB">
            <w:pPr>
              <w:jc w:val="center"/>
              <w:rPr>
                <w:color w:val="000000"/>
                <w:sz w:val="22"/>
                <w:szCs w:val="22"/>
              </w:rPr>
            </w:pPr>
            <w:r w:rsidRPr="0069016B">
              <w:rPr>
                <w:color w:val="000000"/>
                <w:sz w:val="22"/>
                <w:szCs w:val="22"/>
              </w:rPr>
              <w:t>Projekta attiecīgā punkta (panta) galīgā redakcija</w:t>
            </w:r>
          </w:p>
        </w:tc>
      </w:tr>
      <w:tr w:rsidR="00063766" w:rsidRPr="0069016B" w14:paraId="3A846C19" w14:textId="77777777" w:rsidTr="00AD25EB">
        <w:tc>
          <w:tcPr>
            <w:tcW w:w="708" w:type="dxa"/>
            <w:tcBorders>
              <w:top w:val="single" w:sz="6" w:space="0" w:color="000000"/>
              <w:left w:val="single" w:sz="6" w:space="0" w:color="000000"/>
              <w:bottom w:val="single" w:sz="6" w:space="0" w:color="000000"/>
              <w:right w:val="single" w:sz="6" w:space="0" w:color="000000"/>
            </w:tcBorders>
          </w:tcPr>
          <w:p w14:paraId="700E6D95" w14:textId="77777777" w:rsidR="00063766" w:rsidRPr="0069016B" w:rsidRDefault="00063766" w:rsidP="00AD25EB">
            <w:pPr>
              <w:pStyle w:val="naisc"/>
              <w:spacing w:before="0" w:after="0"/>
              <w:rPr>
                <w:color w:val="000000"/>
                <w:sz w:val="22"/>
                <w:szCs w:val="22"/>
              </w:rPr>
            </w:pPr>
            <w:r w:rsidRPr="0069016B">
              <w:rPr>
                <w:color w:val="000000"/>
                <w:sz w:val="22"/>
                <w:szCs w:val="22"/>
              </w:rPr>
              <w:t>1</w:t>
            </w:r>
          </w:p>
        </w:tc>
        <w:tc>
          <w:tcPr>
            <w:tcW w:w="2094" w:type="dxa"/>
            <w:tcBorders>
              <w:top w:val="single" w:sz="6" w:space="0" w:color="000000"/>
              <w:left w:val="single" w:sz="6" w:space="0" w:color="000000"/>
              <w:bottom w:val="single" w:sz="6" w:space="0" w:color="000000"/>
              <w:right w:val="single" w:sz="6" w:space="0" w:color="000000"/>
            </w:tcBorders>
          </w:tcPr>
          <w:p w14:paraId="748EEA8E" w14:textId="77777777" w:rsidR="00063766" w:rsidRPr="0069016B" w:rsidRDefault="00063766" w:rsidP="00AD25EB">
            <w:pPr>
              <w:pStyle w:val="naisc"/>
              <w:spacing w:before="0" w:after="0"/>
              <w:ind w:firstLine="720"/>
              <w:rPr>
                <w:color w:val="000000"/>
                <w:sz w:val="22"/>
                <w:szCs w:val="22"/>
              </w:rPr>
            </w:pPr>
            <w:r w:rsidRPr="0069016B">
              <w:rPr>
                <w:color w:val="000000"/>
                <w:sz w:val="22"/>
                <w:szCs w:val="22"/>
              </w:rPr>
              <w:t>2</w:t>
            </w:r>
          </w:p>
        </w:tc>
        <w:tc>
          <w:tcPr>
            <w:tcW w:w="4110" w:type="dxa"/>
            <w:tcBorders>
              <w:top w:val="single" w:sz="6" w:space="0" w:color="000000"/>
              <w:left w:val="single" w:sz="6" w:space="0" w:color="000000"/>
              <w:bottom w:val="single" w:sz="6" w:space="0" w:color="000000"/>
              <w:right w:val="single" w:sz="6" w:space="0" w:color="000000"/>
            </w:tcBorders>
          </w:tcPr>
          <w:p w14:paraId="29C94C7D" w14:textId="77777777" w:rsidR="00063766" w:rsidRPr="0069016B" w:rsidRDefault="00063766" w:rsidP="00AD25EB">
            <w:pPr>
              <w:pStyle w:val="naisc"/>
              <w:spacing w:before="0" w:after="0"/>
              <w:ind w:firstLine="720"/>
              <w:rPr>
                <w:color w:val="000000"/>
                <w:sz w:val="22"/>
                <w:szCs w:val="22"/>
              </w:rPr>
            </w:pPr>
            <w:r w:rsidRPr="0069016B">
              <w:rPr>
                <w:color w:val="000000"/>
                <w:sz w:val="22"/>
                <w:szCs w:val="22"/>
              </w:rPr>
              <w:t>3</w:t>
            </w:r>
          </w:p>
        </w:tc>
        <w:tc>
          <w:tcPr>
            <w:tcW w:w="3969" w:type="dxa"/>
            <w:tcBorders>
              <w:top w:val="single" w:sz="6" w:space="0" w:color="000000"/>
              <w:left w:val="single" w:sz="6" w:space="0" w:color="000000"/>
              <w:bottom w:val="single" w:sz="6" w:space="0" w:color="000000"/>
              <w:right w:val="single" w:sz="6" w:space="0" w:color="000000"/>
            </w:tcBorders>
          </w:tcPr>
          <w:p w14:paraId="2A88177A" w14:textId="77777777" w:rsidR="00063766" w:rsidRPr="0069016B" w:rsidRDefault="00063766" w:rsidP="00AD25EB">
            <w:pPr>
              <w:pStyle w:val="naisc"/>
              <w:spacing w:before="0" w:after="0"/>
              <w:ind w:firstLine="720"/>
              <w:rPr>
                <w:color w:val="000000"/>
                <w:sz w:val="22"/>
                <w:szCs w:val="22"/>
              </w:rPr>
            </w:pPr>
            <w:r w:rsidRPr="0069016B">
              <w:rPr>
                <w:color w:val="000000"/>
                <w:sz w:val="22"/>
                <w:szCs w:val="22"/>
              </w:rPr>
              <w:t>4</w:t>
            </w:r>
          </w:p>
        </w:tc>
        <w:tc>
          <w:tcPr>
            <w:tcW w:w="1418" w:type="dxa"/>
            <w:tcBorders>
              <w:top w:val="single" w:sz="4" w:space="0" w:color="auto"/>
              <w:left w:val="single" w:sz="4" w:space="0" w:color="auto"/>
              <w:bottom w:val="single" w:sz="4" w:space="0" w:color="auto"/>
              <w:right w:val="single" w:sz="4" w:space="0" w:color="auto"/>
            </w:tcBorders>
          </w:tcPr>
          <w:p w14:paraId="41F96269" w14:textId="77777777" w:rsidR="00063766" w:rsidRPr="0069016B" w:rsidRDefault="00063766" w:rsidP="00AD25EB">
            <w:pPr>
              <w:jc w:val="center"/>
              <w:rPr>
                <w:color w:val="000000"/>
                <w:sz w:val="18"/>
                <w:szCs w:val="18"/>
              </w:rPr>
            </w:pPr>
            <w:r w:rsidRPr="0069016B">
              <w:rPr>
                <w:color w:val="000000"/>
                <w:sz w:val="18"/>
                <w:szCs w:val="18"/>
              </w:rPr>
              <w:t>5</w:t>
            </w:r>
          </w:p>
        </w:tc>
        <w:tc>
          <w:tcPr>
            <w:tcW w:w="1969" w:type="dxa"/>
            <w:tcBorders>
              <w:top w:val="single" w:sz="4" w:space="0" w:color="auto"/>
              <w:left w:val="single" w:sz="4" w:space="0" w:color="auto"/>
              <w:bottom w:val="single" w:sz="4" w:space="0" w:color="auto"/>
            </w:tcBorders>
          </w:tcPr>
          <w:p w14:paraId="17412DBD" w14:textId="77777777" w:rsidR="00063766" w:rsidRPr="0069016B" w:rsidRDefault="00063766" w:rsidP="00AD25EB">
            <w:pPr>
              <w:jc w:val="center"/>
              <w:rPr>
                <w:color w:val="000000"/>
                <w:sz w:val="18"/>
                <w:szCs w:val="18"/>
              </w:rPr>
            </w:pPr>
            <w:r w:rsidRPr="0069016B">
              <w:rPr>
                <w:color w:val="000000"/>
                <w:sz w:val="18"/>
                <w:szCs w:val="18"/>
              </w:rPr>
              <w:t>6</w:t>
            </w:r>
          </w:p>
        </w:tc>
      </w:tr>
      <w:tr w:rsidR="00063766" w:rsidRPr="0069016B" w14:paraId="663FA3F9" w14:textId="77777777" w:rsidTr="00AD25EB">
        <w:tc>
          <w:tcPr>
            <w:tcW w:w="708" w:type="dxa"/>
            <w:tcBorders>
              <w:top w:val="single" w:sz="6" w:space="0" w:color="000000"/>
              <w:left w:val="single" w:sz="6" w:space="0" w:color="000000"/>
              <w:bottom w:val="single" w:sz="6" w:space="0" w:color="000000"/>
              <w:right w:val="single" w:sz="6" w:space="0" w:color="000000"/>
            </w:tcBorders>
          </w:tcPr>
          <w:p w14:paraId="0533DD04" w14:textId="77777777" w:rsidR="00063766" w:rsidRPr="0069016B" w:rsidRDefault="00063766" w:rsidP="00AD25EB">
            <w:pPr>
              <w:pStyle w:val="naisc"/>
              <w:spacing w:before="0" w:after="0"/>
              <w:rPr>
                <w:color w:val="000000"/>
                <w:sz w:val="22"/>
                <w:szCs w:val="22"/>
              </w:rPr>
            </w:pPr>
          </w:p>
        </w:tc>
        <w:tc>
          <w:tcPr>
            <w:tcW w:w="2094" w:type="dxa"/>
            <w:tcBorders>
              <w:top w:val="single" w:sz="6" w:space="0" w:color="000000"/>
              <w:left w:val="single" w:sz="6" w:space="0" w:color="000000"/>
              <w:bottom w:val="single" w:sz="6" w:space="0" w:color="000000"/>
              <w:right w:val="single" w:sz="6" w:space="0" w:color="000000"/>
            </w:tcBorders>
          </w:tcPr>
          <w:p w14:paraId="31B2A571" w14:textId="77777777" w:rsidR="00063766" w:rsidRPr="0069016B" w:rsidRDefault="00063766" w:rsidP="00AD25EB">
            <w:pPr>
              <w:pStyle w:val="naisc"/>
              <w:spacing w:before="0" w:after="0"/>
              <w:jc w:val="both"/>
              <w:rPr>
                <w:color w:val="000000"/>
                <w:sz w:val="22"/>
                <w:szCs w:val="22"/>
              </w:rPr>
            </w:pPr>
          </w:p>
        </w:tc>
        <w:tc>
          <w:tcPr>
            <w:tcW w:w="4110" w:type="dxa"/>
            <w:tcBorders>
              <w:top w:val="single" w:sz="6" w:space="0" w:color="000000"/>
              <w:left w:val="single" w:sz="6" w:space="0" w:color="000000"/>
              <w:bottom w:val="single" w:sz="6" w:space="0" w:color="000000"/>
              <w:right w:val="single" w:sz="6" w:space="0" w:color="000000"/>
            </w:tcBorders>
          </w:tcPr>
          <w:p w14:paraId="2D81A25D" w14:textId="77777777" w:rsidR="00063766" w:rsidRPr="0069016B" w:rsidRDefault="00063766" w:rsidP="00AD25EB">
            <w:pPr>
              <w:jc w:val="both"/>
              <w:rPr>
                <w:color w:val="000000"/>
                <w:sz w:val="22"/>
                <w:szCs w:val="22"/>
              </w:rPr>
            </w:pPr>
          </w:p>
        </w:tc>
        <w:tc>
          <w:tcPr>
            <w:tcW w:w="3969" w:type="dxa"/>
            <w:tcBorders>
              <w:top w:val="single" w:sz="6" w:space="0" w:color="000000"/>
              <w:left w:val="single" w:sz="6" w:space="0" w:color="000000"/>
              <w:bottom w:val="single" w:sz="6" w:space="0" w:color="000000"/>
              <w:right w:val="single" w:sz="6" w:space="0" w:color="000000"/>
            </w:tcBorders>
          </w:tcPr>
          <w:p w14:paraId="613E9A1B" w14:textId="77777777" w:rsidR="00063766" w:rsidRPr="00BA1737" w:rsidRDefault="00063766" w:rsidP="00AD25EB">
            <w:pPr>
              <w:pStyle w:val="naisc"/>
              <w:spacing w:before="0" w:after="0"/>
              <w:jc w:val="both"/>
              <w:rPr>
                <w:color w:val="000000"/>
                <w:sz w:val="22"/>
                <w:szCs w:val="22"/>
              </w:rPr>
            </w:pPr>
          </w:p>
        </w:tc>
        <w:tc>
          <w:tcPr>
            <w:tcW w:w="1418" w:type="dxa"/>
            <w:tcBorders>
              <w:top w:val="single" w:sz="4" w:space="0" w:color="auto"/>
              <w:left w:val="single" w:sz="4" w:space="0" w:color="auto"/>
              <w:bottom w:val="single" w:sz="4" w:space="0" w:color="auto"/>
            </w:tcBorders>
          </w:tcPr>
          <w:p w14:paraId="39AAF339" w14:textId="77777777" w:rsidR="00063766" w:rsidRPr="0069016B" w:rsidRDefault="00063766" w:rsidP="00AD25EB">
            <w:pPr>
              <w:jc w:val="both"/>
              <w:rPr>
                <w:color w:val="000000"/>
                <w:sz w:val="22"/>
                <w:szCs w:val="22"/>
              </w:rPr>
            </w:pPr>
          </w:p>
        </w:tc>
        <w:tc>
          <w:tcPr>
            <w:tcW w:w="1969" w:type="dxa"/>
            <w:tcBorders>
              <w:top w:val="single" w:sz="6" w:space="0" w:color="000000"/>
              <w:left w:val="single" w:sz="6" w:space="0" w:color="000000"/>
              <w:bottom w:val="single" w:sz="6" w:space="0" w:color="000000"/>
              <w:right w:val="single" w:sz="6" w:space="0" w:color="000000"/>
            </w:tcBorders>
          </w:tcPr>
          <w:p w14:paraId="6E419D62" w14:textId="77777777" w:rsidR="00063766" w:rsidRPr="0069016B" w:rsidRDefault="00063766" w:rsidP="00AD25EB">
            <w:pPr>
              <w:pStyle w:val="naisc"/>
              <w:spacing w:before="0" w:after="0"/>
              <w:jc w:val="both"/>
              <w:rPr>
                <w:color w:val="000000"/>
                <w:sz w:val="22"/>
                <w:szCs w:val="22"/>
              </w:rPr>
            </w:pPr>
          </w:p>
        </w:tc>
      </w:tr>
    </w:tbl>
    <w:p w14:paraId="32826C89" w14:textId="77777777" w:rsidR="00063766" w:rsidRPr="0069016B" w:rsidRDefault="00063766" w:rsidP="00063766">
      <w:pPr>
        <w:pStyle w:val="naisf"/>
        <w:spacing w:before="0" w:after="0"/>
        <w:ind w:firstLine="0"/>
        <w:rPr>
          <w:color w:val="000000"/>
        </w:rPr>
      </w:pPr>
    </w:p>
    <w:p w14:paraId="508A9EE2" w14:textId="77777777" w:rsidR="00063766" w:rsidRPr="0069016B" w:rsidRDefault="00063766" w:rsidP="00063766">
      <w:pPr>
        <w:pStyle w:val="naisf"/>
        <w:spacing w:before="0" w:after="0"/>
        <w:ind w:firstLine="0"/>
        <w:rPr>
          <w:b/>
          <w:color w:val="000000"/>
        </w:rPr>
      </w:pPr>
      <w:r w:rsidRPr="0069016B">
        <w:rPr>
          <w:b/>
          <w:color w:val="000000"/>
        </w:rPr>
        <w:t>Informācija par starpministriju (starpinstitūciju) sanāksmi vai elektronisko saskaņošanu</w:t>
      </w:r>
    </w:p>
    <w:p w14:paraId="70FE1924" w14:textId="77777777" w:rsidR="00063766" w:rsidRDefault="00063766" w:rsidP="00063766">
      <w:pPr>
        <w:pStyle w:val="naisf"/>
        <w:spacing w:before="0" w:after="0"/>
        <w:ind w:firstLine="0"/>
        <w:rPr>
          <w:b/>
          <w:color w:val="000000"/>
        </w:rPr>
      </w:pPr>
    </w:p>
    <w:p w14:paraId="5F17807F" w14:textId="77777777" w:rsidR="00063766" w:rsidRPr="00E534B6" w:rsidRDefault="00063766" w:rsidP="00063766">
      <w:pPr>
        <w:pStyle w:val="naisf"/>
        <w:spacing w:before="0" w:after="0"/>
        <w:ind w:firstLine="0"/>
        <w:rPr>
          <w:color w:val="000000"/>
        </w:rPr>
      </w:pPr>
      <w:r w:rsidRPr="0069016B">
        <w:rPr>
          <w:color w:val="000000"/>
        </w:rPr>
        <w:t>Datums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E534B6">
        <w:t>Valsts sekretāru sanāksme 2021.gada 1</w:t>
      </w:r>
      <w:r w:rsidR="000A320F">
        <w:t>2</w:t>
      </w:r>
      <w:r w:rsidRPr="00E534B6">
        <w:t>.</w:t>
      </w:r>
      <w:r w:rsidR="000A320F">
        <w:t>augustā</w:t>
      </w:r>
    </w:p>
    <w:p w14:paraId="23A9833F" w14:textId="77777777" w:rsidR="00063766" w:rsidRPr="000A320F" w:rsidRDefault="00063766" w:rsidP="00063766">
      <w:pPr>
        <w:tabs>
          <w:tab w:val="left" w:pos="1089"/>
        </w:tabs>
        <w:rPr>
          <w:color w:val="000000"/>
        </w:rPr>
      </w:pP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color w:val="000000"/>
        </w:rPr>
        <w:tab/>
      </w:r>
      <w:r w:rsidRPr="0069016B">
        <w:rPr>
          <w:b/>
          <w:bCs/>
          <w:color w:val="000000"/>
          <w:sz w:val="28"/>
          <w:szCs w:val="28"/>
        </w:rPr>
        <w:tab/>
      </w:r>
    </w:p>
    <w:p w14:paraId="391CCC12" w14:textId="77777777" w:rsidR="00063766" w:rsidRDefault="00063766" w:rsidP="00063766">
      <w:pPr>
        <w:tabs>
          <w:tab w:val="left" w:pos="1089"/>
        </w:tabs>
        <w:ind w:left="5760" w:hanging="5760"/>
        <w:jc w:val="both"/>
        <w:rPr>
          <w:color w:val="000000"/>
        </w:rPr>
      </w:pPr>
      <w:r w:rsidRPr="0069016B">
        <w:rPr>
          <w:color w:val="000000"/>
        </w:rPr>
        <w:t>Saskaņošanas dalībnieki</w:t>
      </w:r>
      <w:r w:rsidRPr="0069016B">
        <w:rPr>
          <w:color w:val="000000"/>
        </w:rPr>
        <w:tab/>
        <w:t xml:space="preserve">Tieslietu ministrija, Finanšu ministrija, </w:t>
      </w:r>
      <w:r w:rsidR="000A320F">
        <w:rPr>
          <w:color w:val="000000"/>
        </w:rPr>
        <w:t>Izglītības un zinātnes ministrija</w:t>
      </w:r>
      <w:r w:rsidRPr="0069016B">
        <w:rPr>
          <w:color w:val="000000"/>
        </w:rPr>
        <w:t>, Vides aizsardzības un reģionālās attīstības ministrija, Latvijas Pašvaldību savienību</w:t>
      </w:r>
      <w:r w:rsidR="000A320F">
        <w:rPr>
          <w:color w:val="000000"/>
        </w:rPr>
        <w:t xml:space="preserve"> un Latvijas Brīvo arodbiedrību savienību</w:t>
      </w:r>
      <w:r>
        <w:rPr>
          <w:color w:val="000000"/>
        </w:rPr>
        <w:t>.</w:t>
      </w:r>
    </w:p>
    <w:p w14:paraId="20CDB39F" w14:textId="77777777" w:rsidR="000A320F" w:rsidRPr="0069016B" w:rsidRDefault="000A320F" w:rsidP="00063766">
      <w:pPr>
        <w:tabs>
          <w:tab w:val="left" w:pos="1089"/>
        </w:tabs>
        <w:ind w:left="5760" w:hanging="5760"/>
        <w:jc w:val="both"/>
        <w:rPr>
          <w:b/>
          <w:bCs/>
          <w:color w:val="000000"/>
          <w:sz w:val="28"/>
          <w:szCs w:val="28"/>
        </w:rPr>
      </w:pPr>
    </w:p>
    <w:p w14:paraId="0E708F84" w14:textId="28B029FE" w:rsidR="00063766" w:rsidRDefault="00063766" w:rsidP="00063766">
      <w:r w:rsidRPr="002602A5">
        <w:t xml:space="preserve">Saskaņošanas dalībnieki izskatīja šādu ministriju </w:t>
      </w:r>
      <w:r>
        <w:t xml:space="preserve"> </w:t>
      </w:r>
      <w:r>
        <w:tab/>
      </w:r>
      <w:r>
        <w:tab/>
      </w:r>
      <w:r w:rsidR="000A320F">
        <w:t>Tieslietu ministrijas</w:t>
      </w:r>
      <w:r w:rsidR="00C87EFE">
        <w:t xml:space="preserve">, </w:t>
      </w:r>
      <w:r w:rsidR="00C87EFE" w:rsidRPr="00CB43EB">
        <w:t>Vides aizsardzības un reģionālās attīstības ministrijas</w:t>
      </w:r>
    </w:p>
    <w:p w14:paraId="0F3E69A3" w14:textId="77777777" w:rsidR="00063766" w:rsidRPr="002602A5" w:rsidRDefault="00063766" w:rsidP="00063766">
      <w:pPr>
        <w:ind w:left="5760" w:hanging="5760"/>
        <w:jc w:val="both"/>
      </w:pPr>
      <w:r w:rsidRPr="002602A5">
        <w:t>(citu institūciju) iebildumus</w:t>
      </w:r>
      <w:r w:rsidR="000A320F">
        <w:tab/>
      </w:r>
      <w:r w:rsidRPr="002602A5">
        <w:tab/>
      </w:r>
    </w:p>
    <w:p w14:paraId="68674BE8" w14:textId="77777777" w:rsidR="00063766" w:rsidRPr="002602A5" w:rsidRDefault="00063766" w:rsidP="00063766"/>
    <w:p w14:paraId="5DD7FE3D" w14:textId="77777777" w:rsidR="00063766" w:rsidRDefault="00063766" w:rsidP="00063766">
      <w:r w:rsidRPr="002602A5">
        <w:t xml:space="preserve">Uz sanāksmi vai kuras nav atbildējušas uz </w:t>
      </w:r>
      <w:r>
        <w:tab/>
      </w:r>
      <w:r>
        <w:tab/>
      </w:r>
      <w:r>
        <w:tab/>
      </w:r>
      <w:r w:rsidRPr="00645352">
        <w:t>_____________________________________</w:t>
      </w:r>
      <w:r>
        <w:t>_______________________________</w:t>
      </w:r>
    </w:p>
    <w:p w14:paraId="424146C6" w14:textId="77777777" w:rsidR="00063766" w:rsidRPr="00645352" w:rsidRDefault="00063766" w:rsidP="00063766">
      <w:r w:rsidRPr="002602A5">
        <w:t>uzaicinājumu piedalīties elektroniskajā saskaņošanā</w:t>
      </w:r>
      <w:r w:rsidRPr="009A7E98">
        <w:rPr>
          <w:color w:val="FF0000"/>
        </w:rPr>
        <w:tab/>
      </w:r>
      <w:r>
        <w:rPr>
          <w:color w:val="FF0000"/>
        </w:rPr>
        <w:tab/>
      </w:r>
      <w:r w:rsidRPr="00645352">
        <w:t>____________________________________________________________________</w:t>
      </w:r>
    </w:p>
    <w:p w14:paraId="5D44E0E3" w14:textId="77777777" w:rsidR="00063766" w:rsidRPr="009A7E98" w:rsidRDefault="00063766" w:rsidP="00063766">
      <w:pPr>
        <w:pStyle w:val="naisf"/>
        <w:spacing w:before="0" w:after="0"/>
        <w:ind w:firstLine="0"/>
        <w:rPr>
          <w:b/>
          <w:color w:val="FF0000"/>
        </w:rPr>
      </w:pPr>
    </w:p>
    <w:p w14:paraId="36743ED4" w14:textId="77777777" w:rsidR="00063766" w:rsidRDefault="00063766" w:rsidP="00063766">
      <w:pPr>
        <w:pStyle w:val="naisf"/>
        <w:spacing w:before="0" w:after="0"/>
        <w:ind w:firstLine="0"/>
        <w:jc w:val="center"/>
        <w:rPr>
          <w:b/>
          <w:color w:val="000000"/>
        </w:rPr>
      </w:pPr>
    </w:p>
    <w:p w14:paraId="249B271B" w14:textId="77777777" w:rsidR="00063766" w:rsidRDefault="00063766" w:rsidP="00063766">
      <w:pPr>
        <w:pStyle w:val="naisf"/>
        <w:spacing w:before="0" w:after="0"/>
        <w:ind w:firstLine="0"/>
        <w:jc w:val="center"/>
        <w:rPr>
          <w:b/>
          <w:color w:val="000000"/>
        </w:rPr>
      </w:pPr>
    </w:p>
    <w:p w14:paraId="6F37F359" w14:textId="77777777" w:rsidR="00063766" w:rsidRPr="0069016B" w:rsidRDefault="00063766" w:rsidP="00063766">
      <w:pPr>
        <w:pStyle w:val="naisf"/>
        <w:spacing w:before="0" w:after="0"/>
        <w:ind w:firstLine="0"/>
        <w:jc w:val="center"/>
        <w:rPr>
          <w:b/>
          <w:color w:val="000000"/>
        </w:rPr>
      </w:pPr>
    </w:p>
    <w:p w14:paraId="507F948B" w14:textId="77777777" w:rsidR="00063766" w:rsidRPr="0069016B" w:rsidRDefault="00063766" w:rsidP="00063766">
      <w:pPr>
        <w:pStyle w:val="naisf"/>
        <w:spacing w:before="0" w:after="0"/>
        <w:ind w:firstLine="0"/>
        <w:jc w:val="center"/>
        <w:rPr>
          <w:b/>
          <w:color w:val="000000"/>
        </w:rPr>
      </w:pPr>
      <w:r w:rsidRPr="0069016B">
        <w:rPr>
          <w:b/>
          <w:color w:val="000000"/>
        </w:rPr>
        <w:t>II. Jautājumi, par kuriem saskaņošanā vienošanās ir panākta</w:t>
      </w:r>
    </w:p>
    <w:p w14:paraId="49727209" w14:textId="77777777" w:rsidR="00063766" w:rsidRPr="0069016B" w:rsidRDefault="00063766" w:rsidP="00063766">
      <w:pPr>
        <w:pStyle w:val="naisf"/>
        <w:spacing w:before="0" w:after="0"/>
        <w:ind w:firstLine="720"/>
        <w:rPr>
          <w:color w:val="000000"/>
        </w:rPr>
      </w:pPr>
    </w:p>
    <w:tbl>
      <w:tblPr>
        <w:tblW w:w="14992" w:type="dxa"/>
        <w:tblInd w:w="-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
        <w:gridCol w:w="534"/>
        <w:gridCol w:w="2500"/>
        <w:gridCol w:w="1932"/>
        <w:gridCol w:w="2037"/>
        <w:gridCol w:w="2061"/>
        <w:gridCol w:w="5361"/>
        <w:gridCol w:w="516"/>
      </w:tblGrid>
      <w:tr w:rsidR="00063766" w:rsidRPr="0069016B" w14:paraId="57411206"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468D9F6E" w14:textId="77777777" w:rsidR="00063766" w:rsidRPr="0069016B" w:rsidRDefault="00063766" w:rsidP="00AD25EB">
            <w:pPr>
              <w:pStyle w:val="naisc"/>
              <w:spacing w:before="0" w:after="0"/>
              <w:rPr>
                <w:color w:val="000000"/>
                <w:sz w:val="22"/>
                <w:szCs w:val="22"/>
              </w:rPr>
            </w:pPr>
            <w:r w:rsidRPr="0069016B">
              <w:rPr>
                <w:color w:val="000000"/>
                <w:sz w:val="22"/>
                <w:szCs w:val="22"/>
              </w:rPr>
              <w:t>Nr. p.k.</w:t>
            </w:r>
          </w:p>
        </w:tc>
        <w:tc>
          <w:tcPr>
            <w:tcW w:w="2500" w:type="dxa"/>
            <w:tcBorders>
              <w:top w:val="single" w:sz="6" w:space="0" w:color="000000"/>
              <w:left w:val="single" w:sz="6" w:space="0" w:color="000000"/>
              <w:bottom w:val="single" w:sz="6" w:space="0" w:color="000000"/>
              <w:right w:val="single" w:sz="6" w:space="0" w:color="000000"/>
            </w:tcBorders>
            <w:vAlign w:val="center"/>
          </w:tcPr>
          <w:p w14:paraId="422A28D6" w14:textId="77777777" w:rsidR="00063766" w:rsidRPr="0069016B" w:rsidRDefault="00063766" w:rsidP="00AD25EB">
            <w:pPr>
              <w:pStyle w:val="naisc"/>
              <w:spacing w:before="0" w:after="0"/>
              <w:ind w:firstLine="12"/>
              <w:rPr>
                <w:color w:val="000000"/>
                <w:sz w:val="22"/>
                <w:szCs w:val="22"/>
              </w:rPr>
            </w:pPr>
            <w:r w:rsidRPr="0069016B">
              <w:rPr>
                <w:color w:val="000000"/>
                <w:sz w:val="22"/>
                <w:szCs w:val="22"/>
              </w:rPr>
              <w:t>Saskaņošanai nosūtītā projekta redakcija (konkrēta punkta (panta) redakcija)</w:t>
            </w:r>
          </w:p>
        </w:tc>
        <w:tc>
          <w:tcPr>
            <w:tcW w:w="3969" w:type="dxa"/>
            <w:gridSpan w:val="2"/>
            <w:tcBorders>
              <w:top w:val="single" w:sz="6" w:space="0" w:color="000000"/>
              <w:left w:val="single" w:sz="6" w:space="0" w:color="000000"/>
              <w:bottom w:val="single" w:sz="6" w:space="0" w:color="000000"/>
              <w:right w:val="single" w:sz="6" w:space="0" w:color="000000"/>
            </w:tcBorders>
            <w:vAlign w:val="center"/>
          </w:tcPr>
          <w:p w14:paraId="666D6677" w14:textId="77777777" w:rsidR="00063766" w:rsidRPr="0069016B" w:rsidRDefault="00063766" w:rsidP="00AD25EB">
            <w:pPr>
              <w:pStyle w:val="naisc"/>
              <w:spacing w:before="0" w:after="0"/>
              <w:ind w:right="3"/>
              <w:rPr>
                <w:color w:val="000000"/>
                <w:sz w:val="22"/>
                <w:szCs w:val="22"/>
              </w:rPr>
            </w:pPr>
            <w:r w:rsidRPr="0069016B">
              <w:rPr>
                <w:color w:val="000000"/>
                <w:sz w:val="22"/>
                <w:szCs w:val="22"/>
              </w:rPr>
              <w:t>Atzinumā norādītais ministrijas (citas institūcijas) iebildums, kā arī saskaņošanā papildus izteiktais iebildums par projekta konkrēto punktu (pantu)</w:t>
            </w:r>
          </w:p>
        </w:tc>
        <w:tc>
          <w:tcPr>
            <w:tcW w:w="2061" w:type="dxa"/>
            <w:tcBorders>
              <w:top w:val="single" w:sz="6" w:space="0" w:color="000000"/>
              <w:left w:val="single" w:sz="6" w:space="0" w:color="000000"/>
              <w:bottom w:val="single" w:sz="6" w:space="0" w:color="000000"/>
              <w:right w:val="single" w:sz="6" w:space="0" w:color="000000"/>
            </w:tcBorders>
            <w:vAlign w:val="center"/>
          </w:tcPr>
          <w:p w14:paraId="0E00E370" w14:textId="77777777" w:rsidR="00063766" w:rsidRPr="0069016B" w:rsidRDefault="00063766" w:rsidP="00AD25EB">
            <w:pPr>
              <w:pStyle w:val="naisc"/>
              <w:spacing w:before="0" w:after="0"/>
              <w:ind w:firstLine="21"/>
              <w:rPr>
                <w:color w:val="000000"/>
                <w:sz w:val="22"/>
                <w:szCs w:val="22"/>
              </w:rPr>
            </w:pPr>
            <w:r w:rsidRPr="0069016B">
              <w:rPr>
                <w:color w:val="000000"/>
                <w:sz w:val="22"/>
                <w:szCs w:val="22"/>
              </w:rPr>
              <w:t>Atbildīgās ministrijas norāde par to, ka iebildums ir ņemts vērā, vai informācija par saskaņošanā panākto alternatīvo risinājumu</w:t>
            </w:r>
          </w:p>
        </w:tc>
        <w:tc>
          <w:tcPr>
            <w:tcW w:w="5361" w:type="dxa"/>
            <w:tcBorders>
              <w:top w:val="single" w:sz="4" w:space="0" w:color="auto"/>
              <w:left w:val="single" w:sz="4" w:space="0" w:color="auto"/>
              <w:bottom w:val="single" w:sz="4" w:space="0" w:color="auto"/>
            </w:tcBorders>
            <w:vAlign w:val="center"/>
          </w:tcPr>
          <w:p w14:paraId="5321EAFF" w14:textId="77777777" w:rsidR="00063766" w:rsidRPr="0069016B" w:rsidRDefault="00063766" w:rsidP="00AD25EB">
            <w:pPr>
              <w:jc w:val="center"/>
              <w:rPr>
                <w:color w:val="000000"/>
                <w:sz w:val="22"/>
                <w:szCs w:val="22"/>
              </w:rPr>
            </w:pPr>
            <w:r w:rsidRPr="0069016B">
              <w:rPr>
                <w:color w:val="000000"/>
                <w:sz w:val="22"/>
                <w:szCs w:val="22"/>
              </w:rPr>
              <w:t>Projekta attiecīgā punkta (panta) galīgā redakcija</w:t>
            </w:r>
          </w:p>
        </w:tc>
      </w:tr>
      <w:tr w:rsidR="00063766" w:rsidRPr="0069016B" w14:paraId="70A92F53"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765D64C4" w14:textId="77777777" w:rsidR="00063766" w:rsidRPr="0069016B" w:rsidRDefault="00063766" w:rsidP="00AD25EB">
            <w:pPr>
              <w:pStyle w:val="naisc"/>
              <w:spacing w:before="0" w:after="0"/>
              <w:rPr>
                <w:color w:val="000000"/>
                <w:sz w:val="22"/>
                <w:szCs w:val="22"/>
              </w:rPr>
            </w:pPr>
            <w:r w:rsidRPr="0069016B">
              <w:rPr>
                <w:color w:val="000000"/>
                <w:sz w:val="22"/>
                <w:szCs w:val="22"/>
              </w:rPr>
              <w:t>1</w:t>
            </w:r>
          </w:p>
        </w:tc>
        <w:tc>
          <w:tcPr>
            <w:tcW w:w="2500" w:type="dxa"/>
            <w:tcBorders>
              <w:top w:val="single" w:sz="6" w:space="0" w:color="000000"/>
              <w:left w:val="single" w:sz="6" w:space="0" w:color="000000"/>
              <w:bottom w:val="single" w:sz="6" w:space="0" w:color="000000"/>
              <w:right w:val="single" w:sz="6" w:space="0" w:color="000000"/>
            </w:tcBorders>
          </w:tcPr>
          <w:p w14:paraId="77EFA551" w14:textId="77777777" w:rsidR="00063766" w:rsidRPr="0069016B" w:rsidRDefault="00063766" w:rsidP="00AD25EB">
            <w:pPr>
              <w:pStyle w:val="naisc"/>
              <w:spacing w:before="0" w:after="0"/>
              <w:rPr>
                <w:color w:val="000000"/>
                <w:sz w:val="22"/>
                <w:szCs w:val="22"/>
              </w:rPr>
            </w:pPr>
            <w:r w:rsidRPr="0069016B">
              <w:rPr>
                <w:color w:val="000000"/>
                <w:sz w:val="22"/>
                <w:szCs w:val="22"/>
              </w:rPr>
              <w:t>2</w:t>
            </w:r>
          </w:p>
        </w:tc>
        <w:tc>
          <w:tcPr>
            <w:tcW w:w="3969" w:type="dxa"/>
            <w:gridSpan w:val="2"/>
            <w:tcBorders>
              <w:top w:val="single" w:sz="6" w:space="0" w:color="000000"/>
              <w:left w:val="single" w:sz="6" w:space="0" w:color="000000"/>
              <w:bottom w:val="single" w:sz="6" w:space="0" w:color="000000"/>
              <w:right w:val="single" w:sz="6" w:space="0" w:color="000000"/>
            </w:tcBorders>
          </w:tcPr>
          <w:p w14:paraId="3FA606D7" w14:textId="77777777" w:rsidR="00063766" w:rsidRPr="0069016B" w:rsidRDefault="00063766" w:rsidP="00AD25EB">
            <w:pPr>
              <w:pStyle w:val="naisc"/>
              <w:spacing w:before="0" w:after="0"/>
              <w:rPr>
                <w:color w:val="000000"/>
                <w:sz w:val="22"/>
                <w:szCs w:val="22"/>
              </w:rPr>
            </w:pPr>
            <w:r w:rsidRPr="0069016B">
              <w:rPr>
                <w:color w:val="000000"/>
                <w:sz w:val="22"/>
                <w:szCs w:val="22"/>
              </w:rPr>
              <w:t>3</w:t>
            </w:r>
          </w:p>
        </w:tc>
        <w:tc>
          <w:tcPr>
            <w:tcW w:w="2061" w:type="dxa"/>
            <w:tcBorders>
              <w:top w:val="single" w:sz="6" w:space="0" w:color="000000"/>
              <w:left w:val="single" w:sz="6" w:space="0" w:color="000000"/>
              <w:bottom w:val="single" w:sz="6" w:space="0" w:color="000000"/>
              <w:right w:val="single" w:sz="6" w:space="0" w:color="000000"/>
            </w:tcBorders>
          </w:tcPr>
          <w:p w14:paraId="5F614E08" w14:textId="77777777" w:rsidR="00063766" w:rsidRPr="0069016B" w:rsidRDefault="00063766" w:rsidP="00AD25EB">
            <w:pPr>
              <w:pStyle w:val="naisc"/>
              <w:spacing w:before="0" w:after="0"/>
              <w:rPr>
                <w:color w:val="000000"/>
                <w:sz w:val="22"/>
                <w:szCs w:val="22"/>
              </w:rPr>
            </w:pPr>
            <w:r w:rsidRPr="0069016B">
              <w:rPr>
                <w:color w:val="000000"/>
                <w:sz w:val="22"/>
                <w:szCs w:val="22"/>
              </w:rPr>
              <w:t>4</w:t>
            </w:r>
          </w:p>
        </w:tc>
        <w:tc>
          <w:tcPr>
            <w:tcW w:w="5361" w:type="dxa"/>
            <w:tcBorders>
              <w:top w:val="single" w:sz="4" w:space="0" w:color="auto"/>
              <w:left w:val="single" w:sz="4" w:space="0" w:color="auto"/>
              <w:bottom w:val="single" w:sz="4" w:space="0" w:color="auto"/>
            </w:tcBorders>
          </w:tcPr>
          <w:p w14:paraId="32FB6046" w14:textId="77777777" w:rsidR="00063766" w:rsidRPr="0069016B" w:rsidRDefault="00063766" w:rsidP="00AD25EB">
            <w:pPr>
              <w:jc w:val="center"/>
              <w:rPr>
                <w:color w:val="000000"/>
                <w:sz w:val="22"/>
                <w:szCs w:val="22"/>
              </w:rPr>
            </w:pPr>
            <w:r w:rsidRPr="0069016B">
              <w:rPr>
                <w:color w:val="000000"/>
                <w:sz w:val="22"/>
                <w:szCs w:val="22"/>
              </w:rPr>
              <w:t>5</w:t>
            </w:r>
          </w:p>
        </w:tc>
      </w:tr>
      <w:tr w:rsidR="00063766" w:rsidRPr="0069016B" w14:paraId="24D20AA4" w14:textId="77777777" w:rsidTr="00AD25EB">
        <w:trPr>
          <w:gridBefore w:val="1"/>
          <w:gridAfter w:val="1"/>
          <w:wBefore w:w="51" w:type="dxa"/>
          <w:wAfter w:w="516" w:type="dxa"/>
        </w:trPr>
        <w:tc>
          <w:tcPr>
            <w:tcW w:w="14425" w:type="dxa"/>
            <w:gridSpan w:val="6"/>
            <w:tcBorders>
              <w:top w:val="single" w:sz="6" w:space="0" w:color="000000"/>
              <w:left w:val="single" w:sz="6" w:space="0" w:color="000000"/>
              <w:bottom w:val="single" w:sz="6" w:space="0" w:color="000000"/>
            </w:tcBorders>
          </w:tcPr>
          <w:p w14:paraId="25897173" w14:textId="77777777" w:rsidR="00063766" w:rsidRPr="0069016B" w:rsidRDefault="00063766" w:rsidP="00AF6C2C">
            <w:pPr>
              <w:jc w:val="center"/>
              <w:rPr>
                <w:color w:val="000000"/>
                <w:sz w:val="22"/>
                <w:szCs w:val="22"/>
              </w:rPr>
            </w:pPr>
            <w:r>
              <w:rPr>
                <w:b/>
                <w:bCs/>
              </w:rPr>
              <w:t>Tieslietu ministrijas</w:t>
            </w:r>
            <w:r w:rsidRPr="00C257BB">
              <w:rPr>
                <w:b/>
                <w:bCs/>
              </w:rPr>
              <w:t xml:space="preserve"> </w:t>
            </w:r>
          </w:p>
        </w:tc>
      </w:tr>
      <w:tr w:rsidR="00063766" w:rsidRPr="0069016B" w14:paraId="2A17DD96"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28EF0275" w14:textId="77777777" w:rsidR="00063766" w:rsidRPr="0069016B" w:rsidRDefault="00063766" w:rsidP="00AD25EB">
            <w:pPr>
              <w:pStyle w:val="naisc"/>
              <w:spacing w:before="0" w:after="0"/>
              <w:rPr>
                <w:color w:val="000000"/>
                <w:sz w:val="22"/>
                <w:szCs w:val="22"/>
              </w:rPr>
            </w:pPr>
            <w:r w:rsidRPr="0069016B">
              <w:rPr>
                <w:color w:val="000000"/>
                <w:sz w:val="22"/>
                <w:szCs w:val="22"/>
              </w:rPr>
              <w:t>1.</w:t>
            </w:r>
          </w:p>
        </w:tc>
        <w:tc>
          <w:tcPr>
            <w:tcW w:w="2500" w:type="dxa"/>
            <w:tcBorders>
              <w:bottom w:val="single" w:sz="4" w:space="0" w:color="auto"/>
            </w:tcBorders>
          </w:tcPr>
          <w:p w14:paraId="743E03EA" w14:textId="77777777" w:rsidR="00063766" w:rsidRPr="0069016B" w:rsidRDefault="00063766" w:rsidP="00AD25EB">
            <w:pPr>
              <w:tabs>
                <w:tab w:val="left" w:pos="0"/>
              </w:tabs>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0A2917CE" w14:textId="77777777" w:rsidR="00063766" w:rsidRPr="0069016B" w:rsidRDefault="00B367FF" w:rsidP="00AD25EB">
            <w:pPr>
              <w:pStyle w:val="naisc"/>
              <w:spacing w:before="0" w:after="0"/>
              <w:jc w:val="both"/>
              <w:rPr>
                <w:color w:val="000000"/>
                <w:sz w:val="22"/>
                <w:szCs w:val="22"/>
              </w:rPr>
            </w:pPr>
            <w:r w:rsidRPr="00B367FF">
              <w:rPr>
                <w:color w:val="000000"/>
                <w:sz w:val="22"/>
                <w:szCs w:val="22"/>
              </w:rPr>
              <w:t>1.1.</w:t>
            </w:r>
            <w:r w:rsidRPr="00B367FF">
              <w:rPr>
                <w:color w:val="000000"/>
                <w:sz w:val="22"/>
                <w:szCs w:val="22"/>
              </w:rPr>
              <w:tab/>
              <w:t xml:space="preserve"> papildināt informatīvā ziņojuma projektu ar pašvaldību uzdevumu ugunsdrošības un ugunsdzēsības jomā izvērtējumu, norādot, kādas pašvaldības tika iesaistītas pilotprojektā </w:t>
            </w:r>
            <w:r w:rsidRPr="00B92302">
              <w:rPr>
                <w:color w:val="000000"/>
                <w:sz w:val="22"/>
                <w:szCs w:val="22"/>
              </w:rPr>
              <w:t>un kāpēc daļa no uzaicinātajām pašvaldībām no dalības pilotprojektā atteicās, kāds ir to atteikuma pamatojums, kā arī, vai sadarbībā ar pašvaldībām tika vērtēta nepieciešamība precizēt pašvaldību uzdevumus ugunsdrošības un ugunsdzēsības jomā;</w:t>
            </w:r>
          </w:p>
        </w:tc>
        <w:tc>
          <w:tcPr>
            <w:tcW w:w="2061" w:type="dxa"/>
            <w:tcBorders>
              <w:top w:val="single" w:sz="6" w:space="0" w:color="000000"/>
              <w:left w:val="single" w:sz="6" w:space="0" w:color="000000"/>
              <w:bottom w:val="single" w:sz="6" w:space="0" w:color="000000"/>
              <w:right w:val="single" w:sz="6" w:space="0" w:color="000000"/>
            </w:tcBorders>
          </w:tcPr>
          <w:p w14:paraId="6582ED9C" w14:textId="77777777" w:rsidR="00063766" w:rsidRPr="0069016B" w:rsidRDefault="00063766" w:rsidP="00AD25EB">
            <w:pPr>
              <w:pStyle w:val="naisc"/>
              <w:spacing w:before="0" w:after="0"/>
              <w:rPr>
                <w:b/>
                <w:color w:val="000000"/>
                <w:sz w:val="22"/>
                <w:szCs w:val="22"/>
              </w:rPr>
            </w:pPr>
            <w:r>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6AE26737" w14:textId="77777777" w:rsidR="00063766" w:rsidRDefault="004A1DC8" w:rsidP="00AD25EB">
            <w:pPr>
              <w:tabs>
                <w:tab w:val="left" w:pos="0"/>
                <w:tab w:val="left" w:pos="851"/>
              </w:tabs>
              <w:jc w:val="both"/>
              <w:rPr>
                <w:color w:val="000000"/>
                <w:sz w:val="22"/>
                <w:szCs w:val="22"/>
              </w:rPr>
            </w:pPr>
            <w:r>
              <w:rPr>
                <w:color w:val="000000"/>
                <w:sz w:val="22"/>
                <w:szCs w:val="22"/>
              </w:rPr>
              <w:t>Papildināta informatīvā ziņojuma 1.tabula</w:t>
            </w:r>
          </w:p>
          <w:p w14:paraId="0A9E9841" w14:textId="77777777" w:rsidR="00084C19" w:rsidRDefault="00084C19" w:rsidP="00AD25EB">
            <w:pPr>
              <w:tabs>
                <w:tab w:val="left" w:pos="0"/>
                <w:tab w:val="left" w:pos="851"/>
              </w:tabs>
              <w:jc w:val="both"/>
              <w:rPr>
                <w:color w:val="000000"/>
                <w:sz w:val="22"/>
                <w:szCs w:val="22"/>
              </w:rPr>
            </w:pPr>
          </w:p>
          <w:p w14:paraId="01439F0E" w14:textId="77777777" w:rsidR="00BC08A1" w:rsidRDefault="00084C19" w:rsidP="00BC08A1">
            <w:pPr>
              <w:tabs>
                <w:tab w:val="left" w:pos="0"/>
                <w:tab w:val="left" w:pos="851"/>
              </w:tabs>
              <w:jc w:val="both"/>
              <w:rPr>
                <w:color w:val="000000"/>
                <w:sz w:val="22"/>
                <w:szCs w:val="22"/>
              </w:rPr>
            </w:pPr>
            <w:r>
              <w:rPr>
                <w:color w:val="000000"/>
                <w:sz w:val="22"/>
                <w:szCs w:val="22"/>
              </w:rPr>
              <w:t xml:space="preserve">Ņemot vērā to, ka abas pašvaldību brīvprātīgo ugunsdzēsēju organizācijas nepabeidza dalību pilotprojektā nebija iespējas izvērtēt </w:t>
            </w:r>
            <w:r w:rsidR="00BC08A1">
              <w:rPr>
                <w:color w:val="000000"/>
                <w:sz w:val="22"/>
                <w:szCs w:val="22"/>
              </w:rPr>
              <w:t xml:space="preserve">pašvaldību uzdevumus ugunsdrošībā un ugunsdzēsībā. </w:t>
            </w:r>
          </w:p>
          <w:p w14:paraId="1A397A5C" w14:textId="4D08409B" w:rsidR="00084C19" w:rsidRPr="0069016B" w:rsidRDefault="00BC08A1" w:rsidP="009A768F">
            <w:pPr>
              <w:tabs>
                <w:tab w:val="left" w:pos="0"/>
                <w:tab w:val="left" w:pos="851"/>
              </w:tabs>
              <w:jc w:val="both"/>
              <w:rPr>
                <w:color w:val="000000"/>
                <w:sz w:val="22"/>
                <w:szCs w:val="22"/>
              </w:rPr>
            </w:pPr>
            <w:r>
              <w:rPr>
                <w:color w:val="000000"/>
                <w:sz w:val="22"/>
                <w:szCs w:val="22"/>
              </w:rPr>
              <w:t>Vienlaikus vēlamies informēt, ka</w:t>
            </w:r>
            <w:r w:rsidR="00084C19">
              <w:rPr>
                <w:color w:val="000000"/>
                <w:sz w:val="22"/>
                <w:szCs w:val="22"/>
              </w:rPr>
              <w:t xml:space="preserve"> pašvald</w:t>
            </w:r>
            <w:r>
              <w:rPr>
                <w:color w:val="000000"/>
                <w:sz w:val="22"/>
                <w:szCs w:val="22"/>
              </w:rPr>
              <w:t>ību uzdevumi ugunsdzēsībā un ugunsdrošībā</w:t>
            </w:r>
            <w:r w:rsidR="00084C19">
              <w:rPr>
                <w:color w:val="000000"/>
                <w:sz w:val="22"/>
                <w:szCs w:val="22"/>
              </w:rPr>
              <w:t xml:space="preserve"> neveidojot dienestu atbilstoši </w:t>
            </w:r>
            <w:r w:rsidR="00084C19" w:rsidRPr="00084C19">
              <w:rPr>
                <w:color w:val="000000"/>
                <w:sz w:val="22"/>
                <w:szCs w:val="22"/>
              </w:rPr>
              <w:t>Ministru kabineta 2003.gada 11.novembr</w:t>
            </w:r>
            <w:r w:rsidR="00084C19">
              <w:rPr>
                <w:color w:val="000000"/>
                <w:sz w:val="22"/>
                <w:szCs w:val="22"/>
              </w:rPr>
              <w:t>a</w:t>
            </w:r>
            <w:r w:rsidR="00084C19" w:rsidRPr="00084C19">
              <w:rPr>
                <w:color w:val="000000"/>
                <w:sz w:val="22"/>
                <w:szCs w:val="22"/>
              </w:rPr>
              <w:t xml:space="preserve"> noteikum</w:t>
            </w:r>
            <w:r w:rsidR="00084C19">
              <w:rPr>
                <w:color w:val="000000"/>
                <w:sz w:val="22"/>
                <w:szCs w:val="22"/>
              </w:rPr>
              <w:t>u Nr.639 “</w:t>
            </w:r>
            <w:r w:rsidR="00084C19" w:rsidRPr="00084C19">
              <w:rPr>
                <w:color w:val="000000"/>
                <w:sz w:val="22"/>
                <w:szCs w:val="22"/>
              </w:rPr>
              <w:t>Iestāžu, organizāciju un komercsabiedrību ugunsdrošības, ugunsdzēsības un glābšanas dienestu izveidošanas kārtība</w:t>
            </w:r>
            <w:r w:rsidR="00084C19">
              <w:rPr>
                <w:color w:val="000000"/>
                <w:sz w:val="22"/>
                <w:szCs w:val="22"/>
              </w:rPr>
              <w:t>”</w:t>
            </w:r>
            <w:r w:rsidR="00A867B4">
              <w:rPr>
                <w:color w:val="000000"/>
                <w:sz w:val="22"/>
                <w:szCs w:val="22"/>
              </w:rPr>
              <w:t xml:space="preserve"> (</w:t>
            </w:r>
            <w:r w:rsidR="00A867B4" w:rsidRPr="00A867B4">
              <w:rPr>
                <w:i/>
                <w:color w:val="000000"/>
                <w:sz w:val="22"/>
                <w:szCs w:val="22"/>
              </w:rPr>
              <w:t>nav attiecināms</w:t>
            </w:r>
            <w:r w:rsidR="00A867B4">
              <w:rPr>
                <w:color w:val="000000"/>
                <w:sz w:val="22"/>
                <w:szCs w:val="22"/>
              </w:rPr>
              <w:t>)</w:t>
            </w:r>
            <w:r w:rsidR="00084C19">
              <w:rPr>
                <w:color w:val="000000"/>
                <w:sz w:val="22"/>
                <w:szCs w:val="22"/>
              </w:rPr>
              <w:t xml:space="preserve"> un neveicot minētajam dienestam noteiktās funkcijas un tiesības (</w:t>
            </w:r>
            <w:r w:rsidRPr="009A768F">
              <w:rPr>
                <w:i/>
                <w:color w:val="000000"/>
                <w:sz w:val="22"/>
                <w:szCs w:val="22"/>
              </w:rPr>
              <w:t>Ministru kabineta 2003.gada 9.decembra noteikumi Nr.686 “Noteikumi par iestāžu, organizāciju, komercsabiedrību un pašvaldību ugunsdrošības, ugunsdzēsības un glābšanas dienestu funkcijām un tiesībām”</w:t>
            </w:r>
            <w:r w:rsidR="00084C19">
              <w:rPr>
                <w:color w:val="000000"/>
                <w:sz w:val="22"/>
                <w:szCs w:val="22"/>
              </w:rPr>
              <w:t>)</w:t>
            </w:r>
            <w:r>
              <w:rPr>
                <w:color w:val="000000"/>
                <w:sz w:val="22"/>
                <w:szCs w:val="22"/>
              </w:rPr>
              <w:t xml:space="preserve"> ar </w:t>
            </w:r>
            <w:r w:rsidR="009A768F">
              <w:rPr>
                <w:color w:val="000000"/>
                <w:sz w:val="22"/>
                <w:szCs w:val="22"/>
              </w:rPr>
              <w:t xml:space="preserve">apmācību </w:t>
            </w:r>
            <w:r w:rsidR="009A768F" w:rsidRPr="009A768F">
              <w:rPr>
                <w:color w:val="000000"/>
                <w:sz w:val="22"/>
                <w:szCs w:val="22"/>
              </w:rPr>
              <w:t>20 stundas ugunsdrošības prevencijā un 40 stundas ugunsgrēku dzēšanā un glābšanas darbu veikšanā ugunsgrēkos</w:t>
            </w:r>
            <w:r w:rsidR="009A768F">
              <w:rPr>
                <w:color w:val="000000"/>
                <w:sz w:val="22"/>
                <w:szCs w:val="22"/>
              </w:rPr>
              <w:t xml:space="preserve"> nav iespējama, jo minēto dienestu darbībai ir paredzēta </w:t>
            </w:r>
            <w:r w:rsidR="00640EDA" w:rsidRPr="00A07600">
              <w:rPr>
                <w:bCs/>
                <w:iCs/>
              </w:rPr>
              <w:t>profesionālās tālākizglītības programmas</w:t>
            </w:r>
            <w:r w:rsidR="00640EDA" w:rsidRPr="00A07600">
              <w:rPr>
                <w:bCs/>
                <w:i/>
              </w:rPr>
              <w:t xml:space="preserve"> </w:t>
            </w:r>
            <w:r w:rsidR="009A768F">
              <w:rPr>
                <w:color w:val="000000"/>
                <w:sz w:val="22"/>
                <w:szCs w:val="22"/>
              </w:rPr>
              <w:t>mācība</w:t>
            </w:r>
            <w:r w:rsidR="00787412">
              <w:rPr>
                <w:color w:val="000000"/>
                <w:sz w:val="22"/>
                <w:szCs w:val="22"/>
              </w:rPr>
              <w:t>s</w:t>
            </w:r>
            <w:r w:rsidR="009A768F">
              <w:rPr>
                <w:color w:val="000000"/>
                <w:sz w:val="22"/>
                <w:szCs w:val="22"/>
              </w:rPr>
              <w:t xml:space="preserve"> programma “</w:t>
            </w:r>
            <w:r w:rsidR="009A768F" w:rsidRPr="009A768F">
              <w:rPr>
                <w:color w:val="000000"/>
                <w:sz w:val="22"/>
                <w:szCs w:val="22"/>
              </w:rPr>
              <w:t xml:space="preserve">Ugunsdzēsējs” </w:t>
            </w:r>
            <w:r w:rsidR="009A768F">
              <w:rPr>
                <w:color w:val="000000"/>
                <w:sz w:val="22"/>
                <w:szCs w:val="22"/>
              </w:rPr>
              <w:t>(480 stundu</w:t>
            </w:r>
            <w:r w:rsidR="009A768F" w:rsidRPr="009A768F">
              <w:rPr>
                <w:color w:val="000000"/>
                <w:sz w:val="22"/>
                <w:szCs w:val="22"/>
              </w:rPr>
              <w:t xml:space="preserve"> mācības ilgumu)</w:t>
            </w:r>
            <w:r w:rsidR="009A768F">
              <w:rPr>
                <w:color w:val="000000"/>
                <w:sz w:val="22"/>
                <w:szCs w:val="22"/>
              </w:rPr>
              <w:t xml:space="preserve">, kas arī ir </w:t>
            </w:r>
            <w:r w:rsidR="009A768F">
              <w:rPr>
                <w:color w:val="000000"/>
                <w:sz w:val="22"/>
                <w:szCs w:val="22"/>
              </w:rPr>
              <w:lastRenderedPageBreak/>
              <w:t>noteikts, kā obligātais profesijas standarts (</w:t>
            </w:r>
            <w:r w:rsidR="009A768F" w:rsidRPr="009A768F">
              <w:rPr>
                <w:i/>
                <w:color w:val="000000"/>
                <w:sz w:val="22"/>
                <w:szCs w:val="22"/>
              </w:rPr>
              <w:t>Ministru kabineta 2018. gada 9. oktobra noteikumu Nr. 626 “Noteikumi par obligāti piemērojamo profesiju standartu un profesionālās kvalifikācijas prasību sarakstu un tajā iekļauto profesiju standartu un profesionālās kvalifikācijas prasību publiskošanas kārtību” pielikuma 2.78.apakšpunkts</w:t>
            </w:r>
            <w:r w:rsidR="009A768F">
              <w:rPr>
                <w:color w:val="000000"/>
                <w:sz w:val="22"/>
                <w:szCs w:val="22"/>
              </w:rPr>
              <w:t xml:space="preserve">). </w:t>
            </w:r>
          </w:p>
        </w:tc>
      </w:tr>
      <w:tr w:rsidR="00063766" w:rsidRPr="0069016B" w14:paraId="1B2B7781"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709C9161" w14:textId="77777777" w:rsidR="00063766" w:rsidRPr="0069016B" w:rsidRDefault="00063766" w:rsidP="00AD25EB">
            <w:pPr>
              <w:pStyle w:val="naisc"/>
              <w:spacing w:before="0" w:after="0"/>
              <w:rPr>
                <w:color w:val="000000"/>
                <w:sz w:val="22"/>
                <w:szCs w:val="22"/>
              </w:rPr>
            </w:pPr>
            <w:r w:rsidRPr="0069016B">
              <w:rPr>
                <w:color w:val="000000"/>
                <w:sz w:val="22"/>
                <w:szCs w:val="22"/>
              </w:rPr>
              <w:lastRenderedPageBreak/>
              <w:t>2.</w:t>
            </w:r>
          </w:p>
        </w:tc>
        <w:tc>
          <w:tcPr>
            <w:tcW w:w="2500" w:type="dxa"/>
            <w:tcBorders>
              <w:top w:val="single" w:sz="6" w:space="0" w:color="000000"/>
              <w:left w:val="single" w:sz="6" w:space="0" w:color="000000"/>
              <w:bottom w:val="single" w:sz="6" w:space="0" w:color="000000"/>
              <w:right w:val="single" w:sz="6" w:space="0" w:color="000000"/>
            </w:tcBorders>
          </w:tcPr>
          <w:p w14:paraId="41821C2E" w14:textId="77777777" w:rsidR="00063766" w:rsidRPr="0069016B" w:rsidRDefault="00063766" w:rsidP="00AD25EB">
            <w:pPr>
              <w:pStyle w:val="naisc"/>
              <w:spacing w:before="0" w:after="0"/>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377FDC2A" w14:textId="77777777" w:rsidR="00063766" w:rsidRPr="0069016B" w:rsidRDefault="00B367FF" w:rsidP="00AD25EB">
            <w:pPr>
              <w:pStyle w:val="naisc"/>
              <w:spacing w:before="0" w:after="0"/>
              <w:jc w:val="both"/>
              <w:rPr>
                <w:color w:val="000000"/>
                <w:sz w:val="22"/>
                <w:szCs w:val="22"/>
              </w:rPr>
            </w:pPr>
            <w:r w:rsidRPr="00B367FF">
              <w:rPr>
                <w:color w:val="000000"/>
                <w:sz w:val="22"/>
                <w:szCs w:val="22"/>
              </w:rPr>
              <w:t>1.2.</w:t>
            </w:r>
            <w:r w:rsidRPr="00B367FF">
              <w:rPr>
                <w:color w:val="000000"/>
                <w:sz w:val="22"/>
                <w:szCs w:val="22"/>
              </w:rPr>
              <w:tab/>
              <w:t xml:space="preserve"> sniegt skaidrojumu par Latgales reģiona Ugunsdzēsēju un glābēju biedrības Kaunatas komandas izveidošanas rezultātiem, tajā skaitā, skaidrojot, kāpēc tā atteicās piedalīties pilotprojektā un kādi Valsts ugunsdzēsības un glābšanas dienesta (turpmāk – VUGD) pasākumi brīvprātīgo ugunsdzēsēju organizāciju komandas izveidošanas veicināšanai tika realizēti;</w:t>
            </w:r>
          </w:p>
        </w:tc>
        <w:tc>
          <w:tcPr>
            <w:tcW w:w="2061" w:type="dxa"/>
            <w:tcBorders>
              <w:top w:val="single" w:sz="6" w:space="0" w:color="000000"/>
              <w:left w:val="single" w:sz="6" w:space="0" w:color="000000"/>
              <w:bottom w:val="single" w:sz="6" w:space="0" w:color="000000"/>
              <w:right w:val="single" w:sz="6" w:space="0" w:color="000000"/>
            </w:tcBorders>
          </w:tcPr>
          <w:p w14:paraId="3F2E0DBA" w14:textId="77777777" w:rsidR="00063766" w:rsidRPr="0069016B" w:rsidRDefault="00063766" w:rsidP="00AD25EB">
            <w:pPr>
              <w:pStyle w:val="naisc"/>
              <w:spacing w:before="0" w:after="0"/>
              <w:rPr>
                <w:b/>
                <w:color w:val="000000"/>
                <w:sz w:val="22"/>
                <w:szCs w:val="22"/>
              </w:rPr>
            </w:pPr>
            <w:r w:rsidRPr="0079272E">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64D16392" w14:textId="77777777" w:rsidR="00D51A36" w:rsidRDefault="00D51A36" w:rsidP="00AD25EB">
            <w:pPr>
              <w:jc w:val="both"/>
              <w:rPr>
                <w:color w:val="000000"/>
                <w:sz w:val="22"/>
                <w:szCs w:val="22"/>
              </w:rPr>
            </w:pPr>
            <w:r w:rsidRPr="00D51A36">
              <w:rPr>
                <w:color w:val="000000"/>
                <w:sz w:val="22"/>
                <w:szCs w:val="22"/>
              </w:rPr>
              <w:t>Papildināta informatīvā ziņojuma 1.tabula</w:t>
            </w:r>
          </w:p>
          <w:p w14:paraId="4FE5D16C" w14:textId="77777777" w:rsidR="00D51A36" w:rsidRDefault="00D51A36" w:rsidP="00AD25EB">
            <w:pPr>
              <w:jc w:val="both"/>
              <w:rPr>
                <w:color w:val="000000"/>
                <w:sz w:val="22"/>
                <w:szCs w:val="22"/>
              </w:rPr>
            </w:pPr>
          </w:p>
          <w:p w14:paraId="3E9FFFF7" w14:textId="77777777" w:rsidR="00063766" w:rsidRPr="0069016B" w:rsidRDefault="00D51A36" w:rsidP="00AD25EB">
            <w:pPr>
              <w:jc w:val="both"/>
              <w:rPr>
                <w:color w:val="000000"/>
                <w:sz w:val="22"/>
                <w:szCs w:val="22"/>
              </w:rPr>
            </w:pPr>
            <w:r w:rsidRPr="00D51A36">
              <w:rPr>
                <w:color w:val="000000"/>
                <w:sz w:val="22"/>
                <w:szCs w:val="22"/>
              </w:rPr>
              <w:t>VUGD 2018.gadā atsavināja un nodeva lietošanā Latgales reģiona Ugunsdzēsēju un glābēju biedrībai divas operatīvās ugunsdzēsības automašīnas, Kaunatas struktūrvienības veidošanai.</w:t>
            </w:r>
          </w:p>
        </w:tc>
      </w:tr>
      <w:tr w:rsidR="00063766" w:rsidRPr="0069016B" w14:paraId="1C5C0A14"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6D94625B" w14:textId="77777777" w:rsidR="00063766" w:rsidRPr="0069016B" w:rsidRDefault="00063766" w:rsidP="00AD25EB">
            <w:pPr>
              <w:pStyle w:val="naisc"/>
              <w:spacing w:before="0" w:after="0"/>
              <w:rPr>
                <w:color w:val="000000"/>
                <w:sz w:val="22"/>
                <w:szCs w:val="22"/>
              </w:rPr>
            </w:pPr>
            <w:r w:rsidRPr="0069016B">
              <w:rPr>
                <w:color w:val="000000"/>
                <w:sz w:val="22"/>
                <w:szCs w:val="22"/>
              </w:rPr>
              <w:t>3.</w:t>
            </w:r>
          </w:p>
        </w:tc>
        <w:tc>
          <w:tcPr>
            <w:tcW w:w="2500" w:type="dxa"/>
            <w:tcBorders>
              <w:top w:val="single" w:sz="6" w:space="0" w:color="000000"/>
              <w:left w:val="single" w:sz="6" w:space="0" w:color="000000"/>
              <w:bottom w:val="single" w:sz="6" w:space="0" w:color="000000"/>
              <w:right w:val="single" w:sz="6" w:space="0" w:color="000000"/>
            </w:tcBorders>
          </w:tcPr>
          <w:p w14:paraId="708E3CBC" w14:textId="77777777" w:rsidR="00063766" w:rsidRPr="0069016B" w:rsidRDefault="00063766" w:rsidP="00AD25EB">
            <w:pPr>
              <w:pStyle w:val="naisc"/>
              <w:spacing w:before="0" w:after="0"/>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1BBCE5EB" w14:textId="77777777" w:rsidR="00063766" w:rsidRPr="0069016B" w:rsidRDefault="00B367FF" w:rsidP="00AD25EB">
            <w:pPr>
              <w:jc w:val="both"/>
              <w:rPr>
                <w:color w:val="000000"/>
                <w:sz w:val="22"/>
                <w:szCs w:val="22"/>
              </w:rPr>
            </w:pPr>
            <w:r w:rsidRPr="00B367FF">
              <w:rPr>
                <w:color w:val="000000"/>
                <w:sz w:val="22"/>
                <w:szCs w:val="22"/>
              </w:rPr>
              <w:t>1.3.</w:t>
            </w:r>
            <w:r w:rsidRPr="00B367FF">
              <w:rPr>
                <w:color w:val="000000"/>
                <w:sz w:val="22"/>
                <w:szCs w:val="22"/>
              </w:rPr>
              <w:tab/>
              <w:t>sniegt informāciju, vai tika vērtēta prasību piemērošanas nepieciešamība attiecībā uz brīvprātīgo ugunsdzēsēju veselības stāvokli un fizisko sagatavotību;</w:t>
            </w:r>
          </w:p>
        </w:tc>
        <w:tc>
          <w:tcPr>
            <w:tcW w:w="2061" w:type="dxa"/>
            <w:tcBorders>
              <w:top w:val="single" w:sz="6" w:space="0" w:color="000000"/>
              <w:left w:val="single" w:sz="6" w:space="0" w:color="000000"/>
              <w:bottom w:val="single" w:sz="6" w:space="0" w:color="000000"/>
              <w:right w:val="single" w:sz="6" w:space="0" w:color="000000"/>
            </w:tcBorders>
          </w:tcPr>
          <w:p w14:paraId="38CD3852" w14:textId="77777777" w:rsidR="00063766" w:rsidRPr="0069016B" w:rsidRDefault="00063766" w:rsidP="00AD25EB">
            <w:pPr>
              <w:pStyle w:val="naisc"/>
              <w:spacing w:before="0" w:after="0"/>
              <w:rPr>
                <w:color w:val="000000"/>
                <w:sz w:val="22"/>
                <w:szCs w:val="22"/>
              </w:rPr>
            </w:pPr>
            <w:r w:rsidRPr="00F134F2">
              <w:rPr>
                <w:b/>
                <w:color w:val="000000"/>
                <w:sz w:val="22"/>
                <w:szCs w:val="22"/>
              </w:rPr>
              <w:t>Ņemts vērā</w:t>
            </w:r>
            <w:r>
              <w:rPr>
                <w:color w:val="000000"/>
                <w:sz w:val="22"/>
                <w:szCs w:val="22"/>
              </w:rPr>
              <w:t xml:space="preserve"> </w:t>
            </w:r>
          </w:p>
        </w:tc>
        <w:tc>
          <w:tcPr>
            <w:tcW w:w="5361" w:type="dxa"/>
            <w:tcBorders>
              <w:top w:val="single" w:sz="4" w:space="0" w:color="auto"/>
              <w:left w:val="single" w:sz="4" w:space="0" w:color="auto"/>
              <w:bottom w:val="single" w:sz="4" w:space="0" w:color="auto"/>
              <w:right w:val="single" w:sz="6" w:space="0" w:color="000000"/>
            </w:tcBorders>
          </w:tcPr>
          <w:p w14:paraId="33F6745C" w14:textId="77777777" w:rsidR="00063766" w:rsidRDefault="00994EE7" w:rsidP="00AD25EB">
            <w:pPr>
              <w:pStyle w:val="naisc"/>
              <w:spacing w:before="0" w:after="0"/>
              <w:jc w:val="both"/>
              <w:rPr>
                <w:color w:val="000000"/>
                <w:sz w:val="22"/>
                <w:szCs w:val="22"/>
              </w:rPr>
            </w:pPr>
            <w:r>
              <w:rPr>
                <w:color w:val="000000"/>
                <w:sz w:val="22"/>
                <w:szCs w:val="22"/>
              </w:rPr>
              <w:t>Informatīvā ziņojuma 2.sadaļa papildināta ar jaunu rindkopu</w:t>
            </w:r>
          </w:p>
          <w:p w14:paraId="10DACDB5" w14:textId="77777777" w:rsidR="00994EE7" w:rsidRDefault="00994EE7" w:rsidP="00AD25EB">
            <w:pPr>
              <w:pStyle w:val="naisc"/>
              <w:spacing w:before="0" w:after="0"/>
              <w:jc w:val="both"/>
              <w:rPr>
                <w:color w:val="000000"/>
                <w:sz w:val="22"/>
                <w:szCs w:val="22"/>
              </w:rPr>
            </w:pPr>
          </w:p>
          <w:p w14:paraId="35125BE4" w14:textId="77777777" w:rsidR="00994EE7" w:rsidRPr="004020FF" w:rsidRDefault="00994EE7" w:rsidP="00AD25EB">
            <w:pPr>
              <w:pStyle w:val="naisc"/>
              <w:spacing w:before="0" w:after="0"/>
              <w:jc w:val="both"/>
              <w:rPr>
                <w:color w:val="000000"/>
                <w:sz w:val="22"/>
                <w:szCs w:val="22"/>
              </w:rPr>
            </w:pPr>
            <w:r w:rsidRPr="00994EE7">
              <w:rPr>
                <w:color w:val="000000"/>
                <w:sz w:val="22"/>
                <w:szCs w:val="22"/>
              </w:rPr>
              <w:t>Vienlaikus ņemot vērā to, ka pilotprojektā iesaistīto institūciju apmācība sevī iekļāva 20 stundas ugunsdrošības prevencijā un 40 stundas ugunsgrēku dzēšanā un glābšanas darbu veikšanā ugunsgrēkos, kā arī to, ka balstoties uz šo iegūto kompetenci tika uzdots veikt attiecīgus valsts pārvaldes uzdevumus (ugunsgrēku dzēšanu un glābšanas darbus ugunsgrēkos, izņemot elpošanai nepiemērotā vidē, prevencijas pasākumus valsts ugunsdrošības un civilās aizsardzības jomā saskaņā ar prevencijas pasākumu ugunsdrošības un civilās aizsardzības jomā plānu), tika secināts, ka nav nepieciešams izvirzīt atsevišķas prasības uz veselības stāvokli un fizisko sagatavotību, jo veicamie uzdevumi nav saistīti ar darbu paaugstināta riska un slodzes apstākļos</w:t>
            </w:r>
            <w:r w:rsidR="005E4866">
              <w:rPr>
                <w:color w:val="000000"/>
                <w:sz w:val="22"/>
                <w:szCs w:val="22"/>
              </w:rPr>
              <w:t xml:space="preserve"> </w:t>
            </w:r>
            <w:r w:rsidR="005E4866" w:rsidRPr="005E4866">
              <w:rPr>
                <w:color w:val="000000"/>
                <w:sz w:val="22"/>
                <w:szCs w:val="22"/>
              </w:rPr>
              <w:t>(</w:t>
            </w:r>
            <w:r w:rsidR="005E4866" w:rsidRPr="005E4866">
              <w:rPr>
                <w:i/>
                <w:color w:val="000000"/>
                <w:sz w:val="22"/>
                <w:szCs w:val="22"/>
              </w:rPr>
              <w:t>līdzdarbības līguma 2.12.apakšpunkts</w:t>
            </w:r>
            <w:r w:rsidR="005E4866" w:rsidRPr="005E4866">
              <w:rPr>
                <w:color w:val="000000"/>
                <w:sz w:val="22"/>
                <w:szCs w:val="22"/>
              </w:rPr>
              <w:t>)</w:t>
            </w:r>
            <w:r w:rsidRPr="00994EE7">
              <w:rPr>
                <w:color w:val="000000"/>
                <w:sz w:val="22"/>
                <w:szCs w:val="22"/>
              </w:rPr>
              <w:t>.</w:t>
            </w:r>
          </w:p>
        </w:tc>
      </w:tr>
      <w:tr w:rsidR="00063766" w:rsidRPr="0069016B" w14:paraId="518B84D8"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11FB695A" w14:textId="77777777" w:rsidR="00063766" w:rsidRPr="0069016B" w:rsidRDefault="00063766" w:rsidP="00AD25EB">
            <w:pPr>
              <w:pStyle w:val="naisc"/>
              <w:spacing w:before="0" w:after="0"/>
              <w:rPr>
                <w:color w:val="000000"/>
                <w:sz w:val="22"/>
                <w:szCs w:val="22"/>
              </w:rPr>
            </w:pPr>
            <w:r w:rsidRPr="0069016B">
              <w:rPr>
                <w:color w:val="000000"/>
                <w:sz w:val="22"/>
                <w:szCs w:val="22"/>
              </w:rPr>
              <w:t>4.</w:t>
            </w:r>
          </w:p>
        </w:tc>
        <w:tc>
          <w:tcPr>
            <w:tcW w:w="2500" w:type="dxa"/>
            <w:tcBorders>
              <w:top w:val="single" w:sz="4" w:space="0" w:color="auto"/>
              <w:bottom w:val="single" w:sz="6" w:space="0" w:color="000000"/>
            </w:tcBorders>
          </w:tcPr>
          <w:p w14:paraId="75054B21" w14:textId="77777777" w:rsidR="00063766" w:rsidRPr="0069016B" w:rsidRDefault="00063766"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67201BFC" w14:textId="77777777" w:rsidR="00063766" w:rsidRPr="0069016B" w:rsidRDefault="00B367FF" w:rsidP="00AD25EB">
            <w:pPr>
              <w:pStyle w:val="naisc"/>
              <w:spacing w:before="0" w:after="0"/>
              <w:jc w:val="both"/>
              <w:rPr>
                <w:color w:val="000000"/>
                <w:sz w:val="22"/>
                <w:szCs w:val="22"/>
              </w:rPr>
            </w:pPr>
            <w:r w:rsidRPr="00B367FF">
              <w:rPr>
                <w:color w:val="000000"/>
                <w:sz w:val="22"/>
                <w:szCs w:val="22"/>
              </w:rPr>
              <w:t>1.4.</w:t>
            </w:r>
            <w:r w:rsidRPr="00B367FF">
              <w:rPr>
                <w:color w:val="000000"/>
                <w:sz w:val="22"/>
                <w:szCs w:val="22"/>
              </w:rPr>
              <w:tab/>
              <w:t xml:space="preserve">sniegt informāciju, vai tika testēti jautājumi attiecībā uz informācijas </w:t>
            </w:r>
            <w:r w:rsidRPr="00B367FF">
              <w:rPr>
                <w:color w:val="000000"/>
                <w:sz w:val="22"/>
                <w:szCs w:val="22"/>
              </w:rPr>
              <w:lastRenderedPageBreak/>
              <w:t>apmaiņas kārtību starp pilotprojekta komandām un VUGD, tai skaitā par tehniskajiem risinājumiem;</w:t>
            </w:r>
          </w:p>
        </w:tc>
        <w:tc>
          <w:tcPr>
            <w:tcW w:w="2061" w:type="dxa"/>
            <w:tcBorders>
              <w:top w:val="single" w:sz="6" w:space="0" w:color="000000"/>
              <w:left w:val="single" w:sz="6" w:space="0" w:color="000000"/>
              <w:bottom w:val="single" w:sz="6" w:space="0" w:color="000000"/>
              <w:right w:val="single" w:sz="6" w:space="0" w:color="000000"/>
            </w:tcBorders>
          </w:tcPr>
          <w:p w14:paraId="55DE7B12" w14:textId="77777777" w:rsidR="00063766" w:rsidRPr="00F635C2" w:rsidRDefault="00063766" w:rsidP="00AD25EB">
            <w:pPr>
              <w:pStyle w:val="naisc"/>
              <w:spacing w:before="0" w:after="0"/>
              <w:rPr>
                <w:b/>
                <w:color w:val="000000"/>
                <w:sz w:val="22"/>
                <w:szCs w:val="22"/>
              </w:rPr>
            </w:pPr>
            <w:r w:rsidRPr="00F635C2">
              <w:rPr>
                <w:b/>
                <w:color w:val="000000"/>
                <w:sz w:val="22"/>
                <w:szCs w:val="22"/>
              </w:rPr>
              <w:lastRenderedPageBreak/>
              <w:t>Ņemts vērā</w:t>
            </w:r>
          </w:p>
        </w:tc>
        <w:tc>
          <w:tcPr>
            <w:tcW w:w="5361" w:type="dxa"/>
            <w:tcBorders>
              <w:top w:val="single" w:sz="4" w:space="0" w:color="auto"/>
              <w:left w:val="single" w:sz="4" w:space="0" w:color="auto"/>
              <w:bottom w:val="single" w:sz="4" w:space="0" w:color="auto"/>
              <w:right w:val="single" w:sz="4" w:space="0" w:color="auto"/>
            </w:tcBorders>
          </w:tcPr>
          <w:p w14:paraId="53244A4A" w14:textId="77777777" w:rsidR="00063766" w:rsidRDefault="005E4866" w:rsidP="00AD25EB">
            <w:pPr>
              <w:autoSpaceDE w:val="0"/>
              <w:autoSpaceDN w:val="0"/>
              <w:adjustRightInd w:val="0"/>
              <w:contextualSpacing/>
              <w:jc w:val="both"/>
              <w:rPr>
                <w:rFonts w:eastAsia="Calibri"/>
                <w:color w:val="000000"/>
                <w:sz w:val="22"/>
                <w:szCs w:val="22"/>
                <w:lang w:eastAsia="en-US"/>
              </w:rPr>
            </w:pPr>
            <w:r w:rsidRPr="005E4866">
              <w:rPr>
                <w:rFonts w:eastAsia="Calibri"/>
                <w:color w:val="000000"/>
                <w:sz w:val="22"/>
                <w:szCs w:val="22"/>
                <w:lang w:eastAsia="en-US"/>
              </w:rPr>
              <w:t>Informatīvā ziņojuma 2.sadaļa papildināta ar jaunu rindkopu</w:t>
            </w:r>
          </w:p>
          <w:p w14:paraId="3242D02D" w14:textId="77777777" w:rsidR="005E4866" w:rsidRDefault="005E4866" w:rsidP="00AD25EB">
            <w:pPr>
              <w:autoSpaceDE w:val="0"/>
              <w:autoSpaceDN w:val="0"/>
              <w:adjustRightInd w:val="0"/>
              <w:contextualSpacing/>
              <w:jc w:val="both"/>
              <w:rPr>
                <w:rFonts w:eastAsia="Calibri"/>
                <w:color w:val="000000"/>
                <w:sz w:val="22"/>
                <w:szCs w:val="22"/>
                <w:lang w:eastAsia="en-US"/>
              </w:rPr>
            </w:pPr>
          </w:p>
          <w:p w14:paraId="48391947" w14:textId="77777777" w:rsidR="005E4866" w:rsidRPr="0069016B" w:rsidRDefault="008A6D73" w:rsidP="00AD25EB">
            <w:pPr>
              <w:autoSpaceDE w:val="0"/>
              <w:autoSpaceDN w:val="0"/>
              <w:adjustRightInd w:val="0"/>
              <w:contextualSpacing/>
              <w:jc w:val="both"/>
              <w:rPr>
                <w:rFonts w:eastAsia="Calibri"/>
                <w:color w:val="000000"/>
                <w:sz w:val="22"/>
                <w:szCs w:val="22"/>
                <w:lang w:eastAsia="en-US"/>
              </w:rPr>
            </w:pPr>
            <w:r w:rsidRPr="008A6D73">
              <w:rPr>
                <w:rFonts w:eastAsia="Calibri"/>
                <w:color w:val="000000"/>
                <w:sz w:val="22"/>
                <w:szCs w:val="22"/>
                <w:lang w:eastAsia="en-US"/>
              </w:rPr>
              <w:t>Pilotprojekta ietvaros tika pārbaudīta informācijas apmaiņas kārtība starp pilotprojektā iesaistītajām institūcijām un VUGD, tai skaitā tehniskie risinājumi, tiktāl cik tas bija iespējams balstoties uz iegūto kompetenci (</w:t>
            </w:r>
            <w:r w:rsidRPr="008A6D73">
              <w:rPr>
                <w:rFonts w:eastAsia="Calibri"/>
                <w:i/>
                <w:color w:val="000000"/>
                <w:sz w:val="22"/>
                <w:szCs w:val="22"/>
                <w:lang w:eastAsia="en-US"/>
              </w:rPr>
              <w:t>līdzdarbības līguma 2.14.-2.23.apakšpunkts</w:t>
            </w:r>
            <w:r w:rsidRPr="008A6D73">
              <w:rPr>
                <w:rFonts w:eastAsia="Calibri"/>
                <w:color w:val="000000"/>
                <w:sz w:val="22"/>
                <w:szCs w:val="22"/>
                <w:lang w:eastAsia="en-US"/>
              </w:rPr>
              <w:t>).</w:t>
            </w:r>
          </w:p>
        </w:tc>
      </w:tr>
      <w:tr w:rsidR="00B367FF" w:rsidRPr="0069016B" w14:paraId="077E1CF7"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70743A51" w14:textId="77777777" w:rsidR="00B367FF" w:rsidRPr="0069016B" w:rsidRDefault="00B367FF" w:rsidP="00B367FF">
            <w:pPr>
              <w:pStyle w:val="naisc"/>
              <w:spacing w:before="0" w:after="0"/>
              <w:rPr>
                <w:color w:val="000000"/>
                <w:sz w:val="22"/>
                <w:szCs w:val="22"/>
              </w:rPr>
            </w:pPr>
            <w:r>
              <w:rPr>
                <w:color w:val="000000"/>
                <w:sz w:val="22"/>
                <w:szCs w:val="22"/>
              </w:rPr>
              <w:lastRenderedPageBreak/>
              <w:t>5.</w:t>
            </w:r>
          </w:p>
        </w:tc>
        <w:tc>
          <w:tcPr>
            <w:tcW w:w="2500" w:type="dxa"/>
            <w:tcBorders>
              <w:top w:val="single" w:sz="4" w:space="0" w:color="auto"/>
              <w:bottom w:val="single" w:sz="6" w:space="0" w:color="000000"/>
            </w:tcBorders>
          </w:tcPr>
          <w:p w14:paraId="35EE2C30" w14:textId="77777777" w:rsidR="00B367FF" w:rsidRPr="0069016B" w:rsidRDefault="00B367FF" w:rsidP="00B367FF">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0D220389" w14:textId="77777777" w:rsidR="00B367FF" w:rsidRPr="0069016B" w:rsidRDefault="00B367FF" w:rsidP="00B367FF">
            <w:pPr>
              <w:pStyle w:val="naisc"/>
              <w:spacing w:before="0" w:after="0"/>
              <w:jc w:val="both"/>
              <w:rPr>
                <w:color w:val="000000"/>
                <w:sz w:val="22"/>
                <w:szCs w:val="22"/>
              </w:rPr>
            </w:pPr>
            <w:r w:rsidRPr="00B367FF">
              <w:rPr>
                <w:color w:val="000000"/>
                <w:sz w:val="22"/>
                <w:szCs w:val="22"/>
              </w:rPr>
              <w:t>1.5.</w:t>
            </w:r>
            <w:r w:rsidRPr="00B367FF">
              <w:rPr>
                <w:color w:val="000000"/>
                <w:sz w:val="22"/>
                <w:szCs w:val="22"/>
              </w:rPr>
              <w:tab/>
              <w:t>sniegt informāciju, kādi rezultāti ir VUGD, koordinējot brīvprātīgo ugunsdzēsēju darbību ugunsdzēsības un ugunsdrošības prevencijas jomā;</w:t>
            </w:r>
          </w:p>
        </w:tc>
        <w:tc>
          <w:tcPr>
            <w:tcW w:w="2061" w:type="dxa"/>
            <w:tcBorders>
              <w:top w:val="single" w:sz="6" w:space="0" w:color="000000"/>
              <w:left w:val="single" w:sz="6" w:space="0" w:color="000000"/>
              <w:bottom w:val="single" w:sz="6" w:space="0" w:color="000000"/>
              <w:right w:val="single" w:sz="6" w:space="0" w:color="000000"/>
            </w:tcBorders>
          </w:tcPr>
          <w:p w14:paraId="6CEE46EE" w14:textId="77777777" w:rsidR="00B367FF" w:rsidRPr="003E2C82" w:rsidRDefault="00B367FF" w:rsidP="00B367FF">
            <w:pPr>
              <w:jc w:val="center"/>
              <w:rPr>
                <w:highlight w:val="yellow"/>
              </w:rPr>
            </w:pPr>
            <w:r w:rsidRPr="0065574F">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0C240017" w14:textId="77777777" w:rsidR="00B367FF" w:rsidRPr="00A07600" w:rsidRDefault="0097510D" w:rsidP="00B367FF">
            <w:p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Informatīvā ziņojuma 1.sadaļa papildināta ar divām rindkopām.</w:t>
            </w:r>
          </w:p>
          <w:p w14:paraId="7302A015" w14:textId="77777777" w:rsidR="0097510D" w:rsidRPr="00A07600" w:rsidRDefault="0097510D" w:rsidP="0097510D">
            <w:p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Koordinējot brīvprātīgo ugunsdzēsēju organizāciju darbību papildus Konceptuālā ziņojuma 3.1.apakšnodaļā sniegtajai informācijai minētās organizācijas:</w:t>
            </w:r>
          </w:p>
          <w:p w14:paraId="46C42E4E" w14:textId="3FC2FF9D" w:rsidR="0097510D" w:rsidRPr="00A07600" w:rsidRDefault="0097510D" w:rsidP="0097510D">
            <w:pPr>
              <w:numPr>
                <w:ilvl w:val="0"/>
                <w:numId w:val="1"/>
              </w:num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2017.gadā izsauktas uz 333 notikum</w:t>
            </w:r>
            <w:r w:rsidR="00846CA8" w:rsidRPr="00A07600">
              <w:rPr>
                <w:rFonts w:eastAsia="Calibri"/>
                <w:sz w:val="22"/>
                <w:szCs w:val="22"/>
                <w:lang w:eastAsia="en-US"/>
              </w:rPr>
              <w:t>iem</w:t>
            </w:r>
            <w:r w:rsidRPr="00A07600">
              <w:rPr>
                <w:rFonts w:eastAsia="Calibri"/>
                <w:sz w:val="22"/>
                <w:szCs w:val="22"/>
                <w:lang w:eastAsia="en-US"/>
              </w:rPr>
              <w:t xml:space="preserve">, no kuriem izbrauca </w:t>
            </w:r>
            <w:r w:rsidR="00846CA8" w:rsidRPr="00A07600">
              <w:rPr>
                <w:rFonts w:eastAsia="Calibri"/>
                <w:sz w:val="22"/>
                <w:szCs w:val="22"/>
                <w:lang w:eastAsia="en-US"/>
              </w:rPr>
              <w:t xml:space="preserve">284 </w:t>
            </w:r>
            <w:r w:rsidRPr="00A07600">
              <w:rPr>
                <w:rFonts w:eastAsia="Calibri"/>
                <w:sz w:val="22"/>
                <w:szCs w:val="22"/>
                <w:lang w:eastAsia="en-US"/>
              </w:rPr>
              <w:t>reizes</w:t>
            </w:r>
            <w:r w:rsidR="00846CA8" w:rsidRPr="00A07600">
              <w:rPr>
                <w:rFonts w:eastAsia="Calibri"/>
                <w:sz w:val="22"/>
                <w:szCs w:val="22"/>
                <w:lang w:eastAsia="en-US"/>
              </w:rPr>
              <w:t>, neizbrauca 49 reizes</w:t>
            </w:r>
            <w:r w:rsidRPr="00A07600">
              <w:rPr>
                <w:rFonts w:eastAsia="Calibri"/>
                <w:sz w:val="22"/>
                <w:szCs w:val="22"/>
                <w:lang w:eastAsia="en-US"/>
              </w:rPr>
              <w:t>;</w:t>
            </w:r>
          </w:p>
          <w:p w14:paraId="6F3136BB" w14:textId="5B77A44F" w:rsidR="0097510D" w:rsidRPr="00A07600" w:rsidRDefault="0097510D" w:rsidP="0097510D">
            <w:pPr>
              <w:numPr>
                <w:ilvl w:val="0"/>
                <w:numId w:val="1"/>
              </w:num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2018.gadā izsauktas uz 54</w:t>
            </w:r>
            <w:r w:rsidR="00846CA8" w:rsidRPr="00A07600">
              <w:rPr>
                <w:rFonts w:eastAsia="Calibri"/>
                <w:sz w:val="22"/>
                <w:szCs w:val="22"/>
                <w:lang w:eastAsia="en-US"/>
              </w:rPr>
              <w:t>2</w:t>
            </w:r>
            <w:r w:rsidRPr="00A07600">
              <w:rPr>
                <w:rFonts w:eastAsia="Calibri"/>
                <w:sz w:val="22"/>
                <w:szCs w:val="22"/>
                <w:lang w:eastAsia="en-US"/>
              </w:rPr>
              <w:t xml:space="preserve"> notikum</w:t>
            </w:r>
            <w:r w:rsidR="006D0557" w:rsidRPr="00A07600">
              <w:rPr>
                <w:rFonts w:eastAsia="Calibri"/>
                <w:sz w:val="22"/>
                <w:szCs w:val="22"/>
                <w:lang w:eastAsia="en-US"/>
              </w:rPr>
              <w:t>iem</w:t>
            </w:r>
            <w:r w:rsidRPr="00A07600">
              <w:rPr>
                <w:rFonts w:eastAsia="Calibri"/>
                <w:sz w:val="22"/>
                <w:szCs w:val="22"/>
                <w:lang w:eastAsia="en-US"/>
              </w:rPr>
              <w:t xml:space="preserve">, no kuriem izbrauca </w:t>
            </w:r>
            <w:r w:rsidR="00846CA8" w:rsidRPr="00A07600">
              <w:rPr>
                <w:rFonts w:eastAsia="Calibri"/>
                <w:sz w:val="22"/>
                <w:szCs w:val="22"/>
                <w:lang w:eastAsia="en-US"/>
              </w:rPr>
              <w:t>402</w:t>
            </w:r>
            <w:r w:rsidRPr="00A07600">
              <w:rPr>
                <w:rFonts w:eastAsia="Calibri"/>
                <w:sz w:val="22"/>
                <w:szCs w:val="22"/>
                <w:lang w:eastAsia="en-US"/>
              </w:rPr>
              <w:t xml:space="preserve"> reizes</w:t>
            </w:r>
            <w:r w:rsidR="00846CA8" w:rsidRPr="00A07600">
              <w:rPr>
                <w:rFonts w:eastAsia="Calibri"/>
                <w:sz w:val="22"/>
                <w:szCs w:val="22"/>
                <w:lang w:eastAsia="en-US"/>
              </w:rPr>
              <w:t>, neizbrauca 140 reizes</w:t>
            </w:r>
            <w:r w:rsidRPr="00A07600">
              <w:rPr>
                <w:rFonts w:eastAsia="Calibri"/>
                <w:sz w:val="22"/>
                <w:szCs w:val="22"/>
                <w:lang w:eastAsia="en-US"/>
              </w:rPr>
              <w:t>;</w:t>
            </w:r>
          </w:p>
          <w:p w14:paraId="4E0DA050" w14:textId="0DB87D1D" w:rsidR="0097510D" w:rsidRPr="00A07600" w:rsidRDefault="0097510D" w:rsidP="0097510D">
            <w:pPr>
              <w:numPr>
                <w:ilvl w:val="0"/>
                <w:numId w:val="1"/>
              </w:num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2019.gadā izsauktas uz 594 notikum</w:t>
            </w:r>
            <w:r w:rsidR="00846CA8" w:rsidRPr="00A07600">
              <w:rPr>
                <w:rFonts w:eastAsia="Calibri"/>
                <w:sz w:val="22"/>
                <w:szCs w:val="22"/>
                <w:lang w:eastAsia="en-US"/>
              </w:rPr>
              <w:t>iem</w:t>
            </w:r>
            <w:r w:rsidRPr="00A07600">
              <w:rPr>
                <w:rFonts w:eastAsia="Calibri"/>
                <w:sz w:val="22"/>
                <w:szCs w:val="22"/>
                <w:lang w:eastAsia="en-US"/>
              </w:rPr>
              <w:t xml:space="preserve">, no kuriem izbrauca </w:t>
            </w:r>
            <w:r w:rsidR="00846CA8" w:rsidRPr="00A07600">
              <w:rPr>
                <w:rFonts w:eastAsia="Calibri"/>
                <w:sz w:val="22"/>
                <w:szCs w:val="22"/>
                <w:lang w:eastAsia="en-US"/>
              </w:rPr>
              <w:t xml:space="preserve">458 </w:t>
            </w:r>
            <w:r w:rsidRPr="00A07600">
              <w:rPr>
                <w:rFonts w:eastAsia="Calibri"/>
                <w:sz w:val="22"/>
                <w:szCs w:val="22"/>
                <w:lang w:eastAsia="en-US"/>
              </w:rPr>
              <w:t>reize</w:t>
            </w:r>
            <w:r w:rsidR="00846CA8" w:rsidRPr="00A07600">
              <w:rPr>
                <w:rFonts w:eastAsia="Calibri"/>
                <w:sz w:val="22"/>
                <w:szCs w:val="22"/>
                <w:lang w:eastAsia="en-US"/>
              </w:rPr>
              <w:t>s, neizbrauca 136 reizes</w:t>
            </w:r>
            <w:r w:rsidRPr="00A07600">
              <w:rPr>
                <w:rFonts w:eastAsia="Calibri"/>
                <w:sz w:val="22"/>
                <w:szCs w:val="22"/>
                <w:lang w:eastAsia="en-US"/>
              </w:rPr>
              <w:t>;</w:t>
            </w:r>
          </w:p>
          <w:p w14:paraId="7BCC0AFB" w14:textId="2AD2A45A" w:rsidR="0097510D" w:rsidRPr="00A07600" w:rsidRDefault="0097510D" w:rsidP="0097510D">
            <w:pPr>
              <w:numPr>
                <w:ilvl w:val="0"/>
                <w:numId w:val="1"/>
              </w:num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2020.gadā izsauktas uz 480 notikum</w:t>
            </w:r>
            <w:r w:rsidR="00846CA8" w:rsidRPr="00A07600">
              <w:rPr>
                <w:rFonts w:eastAsia="Calibri"/>
                <w:sz w:val="22"/>
                <w:szCs w:val="22"/>
                <w:lang w:eastAsia="en-US"/>
              </w:rPr>
              <w:t>iem</w:t>
            </w:r>
            <w:r w:rsidRPr="00A07600">
              <w:rPr>
                <w:rFonts w:eastAsia="Calibri"/>
                <w:sz w:val="22"/>
                <w:szCs w:val="22"/>
                <w:lang w:eastAsia="en-US"/>
              </w:rPr>
              <w:t xml:space="preserve">, no kuriem izbrauca </w:t>
            </w:r>
            <w:r w:rsidR="00846CA8" w:rsidRPr="00A07600">
              <w:rPr>
                <w:rFonts w:eastAsia="Calibri"/>
                <w:sz w:val="22"/>
                <w:szCs w:val="22"/>
                <w:lang w:eastAsia="en-US"/>
              </w:rPr>
              <w:t xml:space="preserve">371 </w:t>
            </w:r>
            <w:r w:rsidRPr="00A07600">
              <w:rPr>
                <w:rFonts w:eastAsia="Calibri"/>
                <w:sz w:val="22"/>
                <w:szCs w:val="22"/>
                <w:lang w:eastAsia="en-US"/>
              </w:rPr>
              <w:t>reiz</w:t>
            </w:r>
            <w:r w:rsidR="00846CA8" w:rsidRPr="00A07600">
              <w:rPr>
                <w:rFonts w:eastAsia="Calibri"/>
                <w:sz w:val="22"/>
                <w:szCs w:val="22"/>
                <w:lang w:eastAsia="en-US"/>
              </w:rPr>
              <w:t>i, neizbrauca 109 reizes</w:t>
            </w:r>
            <w:r w:rsidRPr="00A07600">
              <w:rPr>
                <w:rFonts w:eastAsia="Calibri"/>
                <w:sz w:val="22"/>
                <w:szCs w:val="22"/>
                <w:lang w:eastAsia="en-US"/>
              </w:rPr>
              <w:t>;</w:t>
            </w:r>
          </w:p>
          <w:p w14:paraId="5DCE2AEE" w14:textId="29530451" w:rsidR="0097510D" w:rsidRPr="00A07600" w:rsidRDefault="0097510D" w:rsidP="0097510D">
            <w:pPr>
              <w:numPr>
                <w:ilvl w:val="0"/>
                <w:numId w:val="1"/>
              </w:num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2021.gadā (</w:t>
            </w:r>
            <w:r w:rsidRPr="00A07600">
              <w:rPr>
                <w:rFonts w:eastAsia="Calibri"/>
                <w:i/>
                <w:sz w:val="22"/>
                <w:szCs w:val="22"/>
                <w:lang w:eastAsia="en-US"/>
              </w:rPr>
              <w:t>līdz 0</w:t>
            </w:r>
            <w:r w:rsidR="00846CA8" w:rsidRPr="00A07600">
              <w:rPr>
                <w:rFonts w:eastAsia="Calibri"/>
                <w:i/>
                <w:sz w:val="22"/>
                <w:szCs w:val="22"/>
                <w:lang w:eastAsia="en-US"/>
              </w:rPr>
              <w:t>3</w:t>
            </w:r>
            <w:r w:rsidRPr="00A07600">
              <w:rPr>
                <w:rFonts w:eastAsia="Calibri"/>
                <w:i/>
                <w:sz w:val="22"/>
                <w:szCs w:val="22"/>
                <w:lang w:eastAsia="en-US"/>
              </w:rPr>
              <w:t>.</w:t>
            </w:r>
            <w:r w:rsidR="00846CA8" w:rsidRPr="00A07600">
              <w:rPr>
                <w:rFonts w:eastAsia="Calibri"/>
                <w:i/>
                <w:sz w:val="22"/>
                <w:szCs w:val="22"/>
                <w:lang w:eastAsia="en-US"/>
              </w:rPr>
              <w:t>11</w:t>
            </w:r>
            <w:r w:rsidRPr="00A07600">
              <w:rPr>
                <w:rFonts w:eastAsia="Calibri"/>
                <w:i/>
                <w:sz w:val="22"/>
                <w:szCs w:val="22"/>
                <w:lang w:eastAsia="en-US"/>
              </w:rPr>
              <w:t>.</w:t>
            </w:r>
            <w:r w:rsidRPr="00A07600">
              <w:rPr>
                <w:rFonts w:eastAsia="Calibri"/>
                <w:sz w:val="22"/>
                <w:szCs w:val="22"/>
                <w:lang w:eastAsia="en-US"/>
              </w:rPr>
              <w:t>) izsauktas uz 5</w:t>
            </w:r>
            <w:r w:rsidR="00846CA8" w:rsidRPr="00A07600">
              <w:rPr>
                <w:rFonts w:eastAsia="Calibri"/>
                <w:sz w:val="22"/>
                <w:szCs w:val="22"/>
                <w:lang w:eastAsia="en-US"/>
              </w:rPr>
              <w:t>46</w:t>
            </w:r>
            <w:r w:rsidRPr="00A07600">
              <w:rPr>
                <w:rFonts w:eastAsia="Calibri"/>
                <w:sz w:val="22"/>
                <w:szCs w:val="22"/>
                <w:lang w:eastAsia="en-US"/>
              </w:rPr>
              <w:t xml:space="preserve"> notikum</w:t>
            </w:r>
            <w:r w:rsidR="00846CA8" w:rsidRPr="00A07600">
              <w:rPr>
                <w:rFonts w:eastAsia="Calibri"/>
                <w:sz w:val="22"/>
                <w:szCs w:val="22"/>
                <w:lang w:eastAsia="en-US"/>
              </w:rPr>
              <w:t>iem</w:t>
            </w:r>
            <w:r w:rsidRPr="00A07600">
              <w:rPr>
                <w:rFonts w:eastAsia="Calibri"/>
                <w:sz w:val="22"/>
                <w:szCs w:val="22"/>
                <w:lang w:eastAsia="en-US"/>
              </w:rPr>
              <w:t xml:space="preserve">, no kuriem izbrauca </w:t>
            </w:r>
            <w:r w:rsidR="00846CA8" w:rsidRPr="00A07600">
              <w:rPr>
                <w:rFonts w:eastAsia="Calibri"/>
                <w:sz w:val="22"/>
                <w:szCs w:val="22"/>
                <w:lang w:eastAsia="en-US"/>
              </w:rPr>
              <w:t xml:space="preserve">408 </w:t>
            </w:r>
            <w:r w:rsidRPr="00A07600">
              <w:rPr>
                <w:rFonts w:eastAsia="Calibri"/>
                <w:sz w:val="22"/>
                <w:szCs w:val="22"/>
                <w:lang w:eastAsia="en-US"/>
              </w:rPr>
              <w:t>reizes</w:t>
            </w:r>
            <w:r w:rsidR="00846CA8" w:rsidRPr="00A07600">
              <w:rPr>
                <w:rFonts w:eastAsia="Calibri"/>
                <w:sz w:val="22"/>
                <w:szCs w:val="22"/>
                <w:lang w:eastAsia="en-US"/>
              </w:rPr>
              <w:t>, neizbrauca 138 reizes.</w:t>
            </w:r>
            <w:r w:rsidRPr="00A07600">
              <w:rPr>
                <w:rFonts w:eastAsia="Calibri"/>
                <w:sz w:val="22"/>
                <w:szCs w:val="22"/>
                <w:lang w:eastAsia="en-US"/>
              </w:rPr>
              <w:t xml:space="preserve"> </w:t>
            </w:r>
          </w:p>
          <w:p w14:paraId="4951CE18" w14:textId="77777777" w:rsidR="0097510D" w:rsidRPr="00A07600" w:rsidRDefault="0097510D" w:rsidP="0097510D">
            <w:pPr>
              <w:autoSpaceDE w:val="0"/>
              <w:autoSpaceDN w:val="0"/>
              <w:adjustRightInd w:val="0"/>
              <w:contextualSpacing/>
              <w:jc w:val="both"/>
              <w:rPr>
                <w:rFonts w:eastAsia="Calibri"/>
                <w:sz w:val="22"/>
                <w:szCs w:val="22"/>
                <w:lang w:eastAsia="en-US"/>
              </w:rPr>
            </w:pPr>
            <w:r w:rsidRPr="00A07600">
              <w:rPr>
                <w:rFonts w:eastAsia="Calibri"/>
                <w:sz w:val="22"/>
                <w:szCs w:val="22"/>
                <w:lang w:eastAsia="en-US"/>
              </w:rPr>
              <w:t>Minēto organizāciju neizbraukšana ir saistīta ar dažādiem iemesliem, piemēram, Valsts ugunsdzēsības un glābšanas dienests (turpmāk – VUGD) viņus nevar sazvanīt, sniedz informāciju, ka neizbrauks, jo nav degvielas vai tehnika ir remontā, nav finansējuma vai arī neviens no brīvprātīgajiem nav uz vietas. Vienlaikus atsevišķām organizācijām tiek izsniegti VUGD sagatavotie materiāli prevencijas pasākumu īstenošanai.</w:t>
            </w:r>
          </w:p>
          <w:p w14:paraId="625C3C31" w14:textId="77777777" w:rsidR="0097510D" w:rsidRPr="00A07600" w:rsidRDefault="0097510D" w:rsidP="00B367FF">
            <w:pPr>
              <w:autoSpaceDE w:val="0"/>
              <w:autoSpaceDN w:val="0"/>
              <w:adjustRightInd w:val="0"/>
              <w:contextualSpacing/>
              <w:jc w:val="both"/>
              <w:rPr>
                <w:rFonts w:eastAsia="Calibri"/>
                <w:sz w:val="22"/>
                <w:szCs w:val="22"/>
                <w:lang w:eastAsia="en-US"/>
              </w:rPr>
            </w:pPr>
          </w:p>
        </w:tc>
      </w:tr>
      <w:tr w:rsidR="00B367FF" w:rsidRPr="0069016B" w14:paraId="43FCE00F"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0C29D832" w14:textId="77777777" w:rsidR="00B367FF" w:rsidRPr="0069016B" w:rsidRDefault="00B367FF" w:rsidP="00B367FF">
            <w:pPr>
              <w:pStyle w:val="naisc"/>
              <w:spacing w:before="0" w:after="0"/>
              <w:rPr>
                <w:color w:val="000000"/>
                <w:sz w:val="22"/>
                <w:szCs w:val="22"/>
              </w:rPr>
            </w:pPr>
            <w:r>
              <w:rPr>
                <w:color w:val="000000"/>
                <w:sz w:val="22"/>
                <w:szCs w:val="22"/>
              </w:rPr>
              <w:lastRenderedPageBreak/>
              <w:t>6.</w:t>
            </w:r>
          </w:p>
        </w:tc>
        <w:tc>
          <w:tcPr>
            <w:tcW w:w="2500" w:type="dxa"/>
            <w:tcBorders>
              <w:top w:val="single" w:sz="4" w:space="0" w:color="auto"/>
              <w:bottom w:val="single" w:sz="6" w:space="0" w:color="000000"/>
            </w:tcBorders>
          </w:tcPr>
          <w:p w14:paraId="3C57ACF0" w14:textId="77777777" w:rsidR="00B367FF" w:rsidRPr="0069016B" w:rsidRDefault="00B367FF" w:rsidP="00B367FF">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1AE46DF1" w14:textId="53E3CF33" w:rsidR="003E2C82" w:rsidRPr="00A07600" w:rsidRDefault="00B367FF" w:rsidP="00B367FF">
            <w:pPr>
              <w:pStyle w:val="naisc"/>
              <w:spacing w:before="0" w:after="0"/>
              <w:jc w:val="both"/>
              <w:rPr>
                <w:sz w:val="22"/>
                <w:szCs w:val="22"/>
              </w:rPr>
            </w:pPr>
            <w:r w:rsidRPr="00B367FF">
              <w:rPr>
                <w:color w:val="000000"/>
                <w:sz w:val="22"/>
                <w:szCs w:val="22"/>
              </w:rPr>
              <w:t>1.6.</w:t>
            </w:r>
            <w:r w:rsidRPr="00B367FF">
              <w:rPr>
                <w:color w:val="000000"/>
                <w:sz w:val="22"/>
                <w:szCs w:val="22"/>
              </w:rPr>
              <w:tab/>
            </w:r>
            <w:r w:rsidR="003E2C82" w:rsidRPr="00A07600">
              <w:rPr>
                <w:sz w:val="22"/>
                <w:szCs w:val="22"/>
              </w:rPr>
              <w:t xml:space="preserve">1) </w:t>
            </w:r>
            <w:r w:rsidRPr="00A07600">
              <w:rPr>
                <w:sz w:val="22"/>
                <w:szCs w:val="22"/>
              </w:rPr>
              <w:t xml:space="preserve">sniegt informāciju, vai tika izvērtēta situācija ugunsdrošības jomā attiecīgajos pilotprojekta komandu izbraukumu rajonos, </w:t>
            </w:r>
          </w:p>
          <w:p w14:paraId="0A924490" w14:textId="6590BBEE" w:rsidR="00B367FF" w:rsidRPr="0069016B" w:rsidRDefault="003E2C82" w:rsidP="00B367FF">
            <w:pPr>
              <w:pStyle w:val="naisc"/>
              <w:spacing w:before="0" w:after="0"/>
              <w:jc w:val="both"/>
              <w:rPr>
                <w:color w:val="000000"/>
                <w:sz w:val="22"/>
                <w:szCs w:val="22"/>
              </w:rPr>
            </w:pPr>
            <w:r w:rsidRPr="00A07600">
              <w:rPr>
                <w:sz w:val="22"/>
                <w:szCs w:val="22"/>
              </w:rPr>
              <w:t xml:space="preserve">2) </w:t>
            </w:r>
            <w:r w:rsidR="00B367FF" w:rsidRPr="00A07600">
              <w:rPr>
                <w:sz w:val="22"/>
                <w:szCs w:val="22"/>
              </w:rPr>
              <w:t>proti, vai tika vērtēta pilotprojekta komandām piešķirto investīciju efektivitāte un lietderība;</w:t>
            </w:r>
          </w:p>
        </w:tc>
        <w:tc>
          <w:tcPr>
            <w:tcW w:w="2061" w:type="dxa"/>
            <w:tcBorders>
              <w:top w:val="single" w:sz="6" w:space="0" w:color="000000"/>
              <w:left w:val="single" w:sz="6" w:space="0" w:color="000000"/>
              <w:bottom w:val="single" w:sz="6" w:space="0" w:color="000000"/>
              <w:right w:val="single" w:sz="6" w:space="0" w:color="000000"/>
            </w:tcBorders>
          </w:tcPr>
          <w:p w14:paraId="285D05D5" w14:textId="032243C9" w:rsidR="00B367FF" w:rsidRPr="003E2C82" w:rsidRDefault="00C63119" w:rsidP="003E2C82">
            <w:pPr>
              <w:jc w:val="center"/>
              <w:rPr>
                <w:highlight w:val="yellow"/>
              </w:rPr>
            </w:pPr>
            <w:r w:rsidRPr="00C63119">
              <w:rPr>
                <w:b/>
                <w:color w:val="000000"/>
                <w:sz w:val="22"/>
                <w:szCs w:val="22"/>
              </w:rPr>
              <w:t>Ņ</w:t>
            </w:r>
            <w:r w:rsidR="00B367FF" w:rsidRPr="00C63119">
              <w:rPr>
                <w:b/>
                <w:color w:val="000000"/>
                <w:sz w:val="22"/>
                <w:szCs w:val="22"/>
              </w:rPr>
              <w:t>emts vērā</w:t>
            </w:r>
          </w:p>
        </w:tc>
        <w:tc>
          <w:tcPr>
            <w:tcW w:w="5361" w:type="dxa"/>
            <w:tcBorders>
              <w:top w:val="single" w:sz="4" w:space="0" w:color="auto"/>
              <w:left w:val="single" w:sz="4" w:space="0" w:color="auto"/>
              <w:bottom w:val="single" w:sz="4" w:space="0" w:color="auto"/>
              <w:right w:val="single" w:sz="4" w:space="0" w:color="auto"/>
            </w:tcBorders>
          </w:tcPr>
          <w:p w14:paraId="13B574BA" w14:textId="4F4C8843" w:rsidR="00B367FF" w:rsidRPr="003E2C82" w:rsidRDefault="0097510D" w:rsidP="003E2C82">
            <w:pPr>
              <w:pStyle w:val="ListParagraph"/>
              <w:numPr>
                <w:ilvl w:val="0"/>
                <w:numId w:val="2"/>
              </w:numPr>
              <w:autoSpaceDE w:val="0"/>
              <w:autoSpaceDN w:val="0"/>
              <w:adjustRightInd w:val="0"/>
              <w:jc w:val="both"/>
              <w:rPr>
                <w:rFonts w:eastAsia="Calibri"/>
                <w:color w:val="000000"/>
                <w:sz w:val="22"/>
                <w:szCs w:val="22"/>
                <w:lang w:eastAsia="en-US"/>
              </w:rPr>
            </w:pPr>
            <w:r w:rsidRPr="003E2C82">
              <w:rPr>
                <w:rFonts w:eastAsia="Calibri"/>
                <w:color w:val="000000"/>
                <w:sz w:val="22"/>
                <w:szCs w:val="22"/>
                <w:lang w:eastAsia="en-US"/>
              </w:rPr>
              <w:t>Precizēta Informatīvā ziņojuma 3.1.apakšnodaļa</w:t>
            </w:r>
          </w:p>
          <w:p w14:paraId="2A545B1D" w14:textId="77777777" w:rsidR="003E2C82" w:rsidRDefault="006F5D75" w:rsidP="006F5D75">
            <w:pPr>
              <w:autoSpaceDE w:val="0"/>
              <w:autoSpaceDN w:val="0"/>
              <w:adjustRightInd w:val="0"/>
              <w:contextualSpacing/>
              <w:jc w:val="both"/>
              <w:rPr>
                <w:rFonts w:eastAsia="Calibri"/>
                <w:color w:val="000000"/>
                <w:sz w:val="22"/>
                <w:szCs w:val="22"/>
                <w:lang w:eastAsia="en-US"/>
              </w:rPr>
            </w:pPr>
            <w:r>
              <w:rPr>
                <w:rFonts w:eastAsia="Calibri"/>
                <w:color w:val="000000"/>
                <w:sz w:val="22"/>
                <w:szCs w:val="22"/>
                <w:lang w:eastAsia="en-US"/>
              </w:rPr>
              <w:t xml:space="preserve">Vienlaikus atbilstoši </w:t>
            </w:r>
            <w:r w:rsidRPr="006F5D75">
              <w:rPr>
                <w:rFonts w:eastAsia="Calibri"/>
                <w:color w:val="000000"/>
                <w:sz w:val="22"/>
                <w:szCs w:val="22"/>
                <w:lang w:eastAsia="en-US"/>
              </w:rPr>
              <w:t>2021.gada 28.septembrī Ministru kabinet</w:t>
            </w:r>
            <w:r>
              <w:rPr>
                <w:rFonts w:eastAsia="Calibri"/>
                <w:color w:val="000000"/>
                <w:sz w:val="22"/>
                <w:szCs w:val="22"/>
                <w:lang w:eastAsia="en-US"/>
              </w:rPr>
              <w:t>ā</w:t>
            </w:r>
            <w:r w:rsidRPr="006F5D75">
              <w:rPr>
                <w:rFonts w:eastAsia="Calibri"/>
                <w:color w:val="000000"/>
                <w:sz w:val="22"/>
                <w:szCs w:val="22"/>
                <w:lang w:eastAsia="en-US"/>
              </w:rPr>
              <w:t xml:space="preserve"> pieņemt</w:t>
            </w:r>
            <w:r>
              <w:rPr>
                <w:rFonts w:eastAsia="Calibri"/>
                <w:color w:val="000000"/>
                <w:sz w:val="22"/>
                <w:szCs w:val="22"/>
                <w:lang w:eastAsia="en-US"/>
              </w:rPr>
              <w:t>ajam</w:t>
            </w:r>
            <w:r w:rsidRPr="006F5D75">
              <w:rPr>
                <w:rFonts w:eastAsia="Calibri"/>
                <w:color w:val="000000"/>
                <w:sz w:val="22"/>
                <w:szCs w:val="22"/>
                <w:lang w:eastAsia="en-US"/>
              </w:rPr>
              <w:t xml:space="preserve"> Informatīv</w:t>
            </w:r>
            <w:r>
              <w:rPr>
                <w:rFonts w:eastAsia="Calibri"/>
                <w:color w:val="000000"/>
                <w:sz w:val="22"/>
                <w:szCs w:val="22"/>
                <w:lang w:eastAsia="en-US"/>
              </w:rPr>
              <w:t>ā</w:t>
            </w:r>
            <w:r w:rsidRPr="006F5D75">
              <w:rPr>
                <w:rFonts w:eastAsia="Calibri"/>
                <w:color w:val="000000"/>
                <w:sz w:val="22"/>
                <w:szCs w:val="22"/>
                <w:lang w:eastAsia="en-US"/>
              </w:rPr>
              <w:t xml:space="preserve"> ziņojum</w:t>
            </w:r>
            <w:r>
              <w:rPr>
                <w:rFonts w:eastAsia="Calibri"/>
                <w:color w:val="000000"/>
                <w:sz w:val="22"/>
                <w:szCs w:val="22"/>
                <w:lang w:eastAsia="en-US"/>
              </w:rPr>
              <w:t>a</w:t>
            </w:r>
            <w:r w:rsidRPr="006F5D75">
              <w:rPr>
                <w:rFonts w:eastAsia="Calibri"/>
                <w:color w:val="000000"/>
                <w:sz w:val="22"/>
                <w:szCs w:val="22"/>
                <w:lang w:eastAsia="en-US"/>
              </w:rPr>
              <w:t xml:space="preserve"> "Par ugunsdrošības un civilās aizsardzības risku novērtēšanas instrumentu, tā izveidošanas un uzturēšanas izmaksām" (prot.Nr.64, 38.§)</w:t>
            </w:r>
            <w:r>
              <w:rPr>
                <w:rFonts w:eastAsia="Calibri"/>
                <w:color w:val="000000"/>
                <w:sz w:val="22"/>
                <w:szCs w:val="22"/>
                <w:lang w:eastAsia="en-US"/>
              </w:rPr>
              <w:t xml:space="preserve"> ir noteiktas ugunsdrošības un civilās aizsardzības riska kategorijas katram novadam – Inčukalna un Rēzeknes novadam tā ir vidēja, Jaunpils, Pāvilostas un Vecpiebalgas novadam t</w:t>
            </w:r>
            <w:r w:rsidR="00DB2098">
              <w:rPr>
                <w:rFonts w:eastAsia="Calibri"/>
                <w:color w:val="000000"/>
                <w:sz w:val="22"/>
                <w:szCs w:val="22"/>
                <w:lang w:eastAsia="en-US"/>
              </w:rPr>
              <w:t xml:space="preserve">ā ir zema. </w:t>
            </w:r>
          </w:p>
          <w:p w14:paraId="4ECCD2A1" w14:textId="77777777" w:rsidR="00146DF7" w:rsidRPr="00A07600" w:rsidRDefault="006F5D75" w:rsidP="00146DF7">
            <w:pPr>
              <w:autoSpaceDE w:val="0"/>
              <w:autoSpaceDN w:val="0"/>
              <w:adjustRightInd w:val="0"/>
              <w:contextualSpacing/>
              <w:jc w:val="both"/>
              <w:rPr>
                <w:rFonts w:eastAsiaTheme="minorHAnsi" w:cstheme="minorBidi"/>
                <w:iCs/>
                <w:sz w:val="22"/>
                <w:szCs w:val="22"/>
                <w:lang w:eastAsia="en-US"/>
              </w:rPr>
            </w:pPr>
            <w:r>
              <w:rPr>
                <w:rFonts w:eastAsia="Calibri"/>
                <w:color w:val="000000"/>
                <w:sz w:val="22"/>
                <w:szCs w:val="22"/>
                <w:lang w:eastAsia="en-US"/>
              </w:rPr>
              <w:t xml:space="preserve"> </w:t>
            </w:r>
            <w:r w:rsidR="003E2C82" w:rsidRPr="00A07600">
              <w:rPr>
                <w:rFonts w:eastAsiaTheme="minorHAnsi" w:cstheme="minorBidi"/>
                <w:iCs/>
                <w:sz w:val="22"/>
                <w:szCs w:val="22"/>
                <w:lang w:eastAsia="en-US"/>
              </w:rPr>
              <w:t xml:space="preserve">2) </w:t>
            </w:r>
            <w:r w:rsidR="00C63119" w:rsidRPr="00A07600">
              <w:rPr>
                <w:rFonts w:eastAsiaTheme="minorHAnsi" w:cstheme="minorBidi"/>
                <w:iCs/>
                <w:sz w:val="22"/>
                <w:szCs w:val="22"/>
                <w:lang w:eastAsia="en-US"/>
              </w:rPr>
              <w:t>Lūgums vērst</w:t>
            </w:r>
            <w:r w:rsidR="003E2C82" w:rsidRPr="00A07600">
              <w:rPr>
                <w:rFonts w:eastAsiaTheme="minorHAnsi" w:cstheme="minorBidi"/>
                <w:iCs/>
                <w:sz w:val="22"/>
                <w:szCs w:val="22"/>
                <w:lang w:eastAsia="en-US"/>
              </w:rPr>
              <w:t xml:space="preserve"> uzmanību</w:t>
            </w:r>
            <w:r w:rsidR="00146DF7" w:rsidRPr="00A07600">
              <w:rPr>
                <w:rFonts w:eastAsiaTheme="minorHAnsi" w:cstheme="minorBidi"/>
                <w:iCs/>
                <w:sz w:val="22"/>
                <w:szCs w:val="22"/>
                <w:lang w:eastAsia="en-US"/>
              </w:rPr>
              <w:t xml:space="preserve"> uz to</w:t>
            </w:r>
            <w:r w:rsidR="003E2C82" w:rsidRPr="00A07600">
              <w:rPr>
                <w:rFonts w:eastAsiaTheme="minorHAnsi" w:cstheme="minorBidi"/>
                <w:iCs/>
                <w:sz w:val="22"/>
                <w:szCs w:val="22"/>
                <w:lang w:eastAsia="en-US"/>
              </w:rPr>
              <w:t>, ka netika vērtēta pilotprojekta komandām piešķirto investīciju efektivitāte un lietderība, jo pilotprojektu īstenošanai noteiktie nosacījumi neparedzēja brīvprātīgo ugunsdzēsēju organizāciju un pašvaldību ugunsdzēsības dienestu attīstībai piešķirt valsts budžeta finansējumu ieguldījumiem, jeb investīcijām.</w:t>
            </w:r>
          </w:p>
          <w:p w14:paraId="7E23F1B6" w14:textId="22B95497" w:rsidR="00B92302" w:rsidRPr="00146DF7" w:rsidRDefault="003E2C82" w:rsidP="00146DF7">
            <w:pPr>
              <w:autoSpaceDE w:val="0"/>
              <w:autoSpaceDN w:val="0"/>
              <w:adjustRightInd w:val="0"/>
              <w:contextualSpacing/>
              <w:jc w:val="both"/>
              <w:rPr>
                <w:rFonts w:eastAsiaTheme="minorHAnsi" w:cstheme="minorBidi"/>
                <w:iCs/>
                <w:color w:val="000000"/>
                <w:sz w:val="22"/>
                <w:szCs w:val="22"/>
                <w:highlight w:val="yellow"/>
                <w:lang w:eastAsia="en-US"/>
              </w:rPr>
            </w:pPr>
            <w:r w:rsidRPr="00A07600">
              <w:rPr>
                <w:rFonts w:eastAsiaTheme="minorHAnsi" w:cstheme="minorBidi"/>
                <w:iCs/>
                <w:sz w:val="22"/>
                <w:szCs w:val="22"/>
                <w:lang w:eastAsia="en-US"/>
              </w:rPr>
              <w:t>VUGD stingri ievērojot Konceptuālā ziņojumā noteikto, saskaņā ar noslēgtajiem līdzdarbības līgumu nosacījumiem un tiem pievienotajām tāmēm, pilotprojektā iesaistītajām institūcijām kompensēja tikai  uzturēšanas izmaksas, kuras tām bija radušās pilotprojekta īstenošanas laikā un bija attiecināmas uz tā īstenošanu (lūdzu skatīt Informatīvā ziņojuma 2.nodaļu).</w:t>
            </w:r>
          </w:p>
        </w:tc>
      </w:tr>
      <w:tr w:rsidR="00B367FF" w:rsidRPr="0069016B" w14:paraId="60FE286A"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572C6C8D" w14:textId="77777777" w:rsidR="00B367FF" w:rsidRDefault="00B367FF" w:rsidP="00B367FF">
            <w:pPr>
              <w:pStyle w:val="naisc"/>
              <w:spacing w:before="0" w:after="0"/>
              <w:rPr>
                <w:color w:val="000000"/>
                <w:sz w:val="22"/>
                <w:szCs w:val="22"/>
              </w:rPr>
            </w:pPr>
            <w:r>
              <w:rPr>
                <w:color w:val="000000"/>
                <w:sz w:val="22"/>
                <w:szCs w:val="22"/>
              </w:rPr>
              <w:t>7.</w:t>
            </w:r>
          </w:p>
        </w:tc>
        <w:tc>
          <w:tcPr>
            <w:tcW w:w="2500" w:type="dxa"/>
            <w:tcBorders>
              <w:top w:val="single" w:sz="4" w:space="0" w:color="auto"/>
              <w:bottom w:val="single" w:sz="6" w:space="0" w:color="000000"/>
            </w:tcBorders>
          </w:tcPr>
          <w:p w14:paraId="5E4D338A" w14:textId="77777777" w:rsidR="00B367FF" w:rsidRPr="0069016B" w:rsidRDefault="00B367FF" w:rsidP="00B367FF">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52BF1890" w14:textId="77777777" w:rsidR="00B367FF" w:rsidRPr="00B367FF" w:rsidRDefault="00B367FF" w:rsidP="00B367FF">
            <w:pPr>
              <w:pStyle w:val="naisc"/>
              <w:spacing w:before="0" w:after="0"/>
              <w:jc w:val="both"/>
              <w:rPr>
                <w:color w:val="000000"/>
                <w:sz w:val="22"/>
                <w:szCs w:val="22"/>
              </w:rPr>
            </w:pPr>
            <w:r>
              <w:rPr>
                <w:color w:val="000000"/>
                <w:sz w:val="22"/>
                <w:szCs w:val="22"/>
              </w:rPr>
              <w:t xml:space="preserve">1.7. </w:t>
            </w:r>
            <w:r w:rsidRPr="00B367FF">
              <w:rPr>
                <w:color w:val="000000"/>
                <w:sz w:val="22"/>
                <w:szCs w:val="22"/>
              </w:rPr>
              <w:t>sniegt informāciju par pilotprojekta realizācijā un tā rezultātu izvērtēšanā iesaistītajām biedrībām – Latvijas Brīvprātīgo ugunsdzēsēju biedrību apvienību, Latvijas Republikas brīvprātīgo ugunsdzēsēju biedrību, Latvijas Ugunsdzēsēju savienību, u.c. – vai tās tika iesaistītas rezultātu izvērtēšanā, ja nē, tad kāpēc;</w:t>
            </w:r>
          </w:p>
        </w:tc>
        <w:tc>
          <w:tcPr>
            <w:tcW w:w="2061" w:type="dxa"/>
            <w:tcBorders>
              <w:top w:val="single" w:sz="6" w:space="0" w:color="000000"/>
              <w:left w:val="single" w:sz="6" w:space="0" w:color="000000"/>
              <w:bottom w:val="single" w:sz="6" w:space="0" w:color="000000"/>
              <w:right w:val="single" w:sz="6" w:space="0" w:color="000000"/>
            </w:tcBorders>
          </w:tcPr>
          <w:p w14:paraId="081E2794" w14:textId="77777777" w:rsidR="00B367FF" w:rsidRDefault="00B367FF" w:rsidP="00B367FF">
            <w:pPr>
              <w:jc w:val="center"/>
            </w:pPr>
            <w:r w:rsidRPr="00173935">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07E11563" w14:textId="77777777" w:rsidR="00B367FF" w:rsidRPr="0069016B" w:rsidRDefault="00160F31" w:rsidP="00B367FF">
            <w:pPr>
              <w:autoSpaceDE w:val="0"/>
              <w:autoSpaceDN w:val="0"/>
              <w:adjustRightInd w:val="0"/>
              <w:contextualSpacing/>
              <w:jc w:val="both"/>
              <w:rPr>
                <w:rFonts w:eastAsia="Calibri"/>
                <w:color w:val="000000"/>
                <w:sz w:val="22"/>
                <w:szCs w:val="22"/>
                <w:lang w:eastAsia="en-US"/>
              </w:rPr>
            </w:pPr>
            <w:r w:rsidRPr="00A07600">
              <w:rPr>
                <w:rFonts w:eastAsia="Calibri"/>
                <w:sz w:val="22"/>
                <w:szCs w:val="22"/>
                <w:lang w:eastAsia="en-US"/>
              </w:rPr>
              <w:t xml:space="preserve">Informatīvā ziņojuma projekts 2021.gada 14.jūnijā tika ievietots Iekšlietu ministrijas tīmekļvietnē, sadaļā “Sabiedrības informēšana” priekšlikumu izteikšanai līdz 2021.gada 28.jūnijam (https://www.iem.gov.lv/lv/diskusiju-dokumenti). Šī gada 12.augustā informatīvais ziņojums tika izsludināts Valsts sekretāru sanāksmē (http://tap.mk.gov.lv/lv/mk/tap/?pid=40506167). Par minēto informatīvā ziņojuma projekta ievietošanu Iekšlietu ministrijas tīmekļvietnē 2021.gada 21.maija Ugunsdrošības un ugunsdzēsības likumprojekta darba grupas sēdē tika informēts Latvijas Brīvprātīgo ugunsdzēsēju biedrību apvienības valdes priekšsēdētājs. </w:t>
            </w:r>
            <w:r w:rsidRPr="00A07600">
              <w:rPr>
                <w:rFonts w:eastAsia="Calibri"/>
                <w:sz w:val="22"/>
                <w:szCs w:val="22"/>
                <w:lang w:eastAsia="en-US"/>
              </w:rPr>
              <w:lastRenderedPageBreak/>
              <w:t>Priekšlikumi līdz informatīvā ziņojuma izsludināšanai Valsts sekretāru sanāksmē netika saņemti. Pārējās minētās nevalstiskās organizācijas nebija iesaistītas pilotprojekta īstenošanā</w:t>
            </w:r>
            <w:r w:rsidR="00B916BC" w:rsidRPr="00A07600">
              <w:rPr>
                <w:rFonts w:eastAsia="Calibri"/>
                <w:sz w:val="22"/>
                <w:szCs w:val="22"/>
                <w:lang w:eastAsia="en-US"/>
              </w:rPr>
              <w:t xml:space="preserve"> un to darbība nav saistīta ar ugunsgrēku dzēšanu vai glābšanas darbu veikšanu, kā arī preventīvo pasākumu īstenošanu ugunsdrošības jomā</w:t>
            </w:r>
            <w:r w:rsidRPr="00A07600">
              <w:rPr>
                <w:rFonts w:eastAsia="Calibri"/>
                <w:sz w:val="22"/>
                <w:szCs w:val="22"/>
                <w:lang w:eastAsia="en-US"/>
              </w:rPr>
              <w:t>.</w:t>
            </w:r>
          </w:p>
        </w:tc>
      </w:tr>
      <w:tr w:rsidR="00B367FF" w:rsidRPr="0069016B" w14:paraId="2E75FAD7"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11616638" w14:textId="77777777" w:rsidR="00B367FF" w:rsidRDefault="00B367FF" w:rsidP="00B367FF">
            <w:pPr>
              <w:pStyle w:val="naisc"/>
              <w:spacing w:before="0" w:after="0"/>
              <w:rPr>
                <w:color w:val="000000"/>
                <w:sz w:val="22"/>
                <w:szCs w:val="22"/>
              </w:rPr>
            </w:pPr>
            <w:r>
              <w:rPr>
                <w:color w:val="000000"/>
                <w:sz w:val="22"/>
                <w:szCs w:val="22"/>
              </w:rPr>
              <w:lastRenderedPageBreak/>
              <w:t>8.</w:t>
            </w:r>
          </w:p>
        </w:tc>
        <w:tc>
          <w:tcPr>
            <w:tcW w:w="2500" w:type="dxa"/>
            <w:tcBorders>
              <w:top w:val="single" w:sz="4" w:space="0" w:color="auto"/>
              <w:bottom w:val="single" w:sz="6" w:space="0" w:color="000000"/>
            </w:tcBorders>
          </w:tcPr>
          <w:p w14:paraId="609B218C" w14:textId="77777777" w:rsidR="00B367FF" w:rsidRPr="0069016B" w:rsidRDefault="00B367FF" w:rsidP="00B367FF">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3A62E255" w14:textId="77777777" w:rsidR="00B367FF" w:rsidRPr="00B367FF" w:rsidRDefault="00B367FF" w:rsidP="00B367FF">
            <w:pPr>
              <w:pStyle w:val="naisc"/>
              <w:spacing w:before="0" w:after="0"/>
              <w:jc w:val="both"/>
              <w:rPr>
                <w:color w:val="000000"/>
                <w:sz w:val="22"/>
                <w:szCs w:val="22"/>
              </w:rPr>
            </w:pPr>
            <w:r w:rsidRPr="00B367FF">
              <w:rPr>
                <w:color w:val="000000"/>
                <w:sz w:val="22"/>
                <w:szCs w:val="22"/>
              </w:rPr>
              <w:t>1.8.</w:t>
            </w:r>
            <w:r w:rsidRPr="00B367FF">
              <w:rPr>
                <w:color w:val="000000"/>
                <w:sz w:val="22"/>
                <w:szCs w:val="22"/>
              </w:rPr>
              <w:tab/>
              <w:t>sniegt informāciju, vai ir paredzēts risinājums teritorijām, kurās prognozējamais ierašanās laiks no tuvākās VUGD daļas vai posteņa pārsniedz Ministru kabineta 2016. gada 17. maija noteikumos Nr. 297 "Kārtība, kādā Valsts ugunsdzēsības un glābšanas dienests veic un vada ugunsgrēku dzēšanu un glābšanas darbus" noteikto ierašanās laiku.</w:t>
            </w:r>
          </w:p>
        </w:tc>
        <w:tc>
          <w:tcPr>
            <w:tcW w:w="2061" w:type="dxa"/>
            <w:tcBorders>
              <w:top w:val="single" w:sz="6" w:space="0" w:color="000000"/>
              <w:left w:val="single" w:sz="6" w:space="0" w:color="000000"/>
              <w:bottom w:val="single" w:sz="6" w:space="0" w:color="000000"/>
              <w:right w:val="single" w:sz="6" w:space="0" w:color="000000"/>
            </w:tcBorders>
          </w:tcPr>
          <w:p w14:paraId="7E91B4FC" w14:textId="77777777" w:rsidR="00B367FF" w:rsidRDefault="00B367FF" w:rsidP="00B367FF">
            <w:pPr>
              <w:jc w:val="center"/>
            </w:pPr>
            <w:r w:rsidRPr="00173935">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36D92D25" w14:textId="77777777" w:rsidR="00B367FF" w:rsidRDefault="00160F31" w:rsidP="00B367FF">
            <w:pPr>
              <w:autoSpaceDE w:val="0"/>
              <w:autoSpaceDN w:val="0"/>
              <w:adjustRightInd w:val="0"/>
              <w:contextualSpacing/>
              <w:jc w:val="both"/>
              <w:rPr>
                <w:rFonts w:eastAsia="Calibri"/>
                <w:color w:val="000000"/>
                <w:sz w:val="22"/>
                <w:szCs w:val="22"/>
                <w:lang w:eastAsia="en-US"/>
              </w:rPr>
            </w:pPr>
            <w:r w:rsidRPr="00160F31">
              <w:rPr>
                <w:rFonts w:eastAsia="Calibri"/>
                <w:color w:val="000000"/>
                <w:sz w:val="22"/>
                <w:szCs w:val="22"/>
                <w:lang w:eastAsia="en-US"/>
              </w:rPr>
              <w:t>Precizēta Informatīvā ziņojuma 3.1.apakšnodaļa</w:t>
            </w:r>
          </w:p>
          <w:p w14:paraId="44A5B92F" w14:textId="77777777" w:rsidR="00160F31" w:rsidRDefault="00160F31" w:rsidP="00B367FF">
            <w:pPr>
              <w:autoSpaceDE w:val="0"/>
              <w:autoSpaceDN w:val="0"/>
              <w:adjustRightInd w:val="0"/>
              <w:contextualSpacing/>
              <w:jc w:val="both"/>
              <w:rPr>
                <w:rFonts w:eastAsia="Calibri"/>
                <w:color w:val="000000"/>
                <w:sz w:val="22"/>
                <w:szCs w:val="22"/>
                <w:lang w:eastAsia="en-US"/>
              </w:rPr>
            </w:pPr>
          </w:p>
          <w:p w14:paraId="24BE2AA0" w14:textId="77777777" w:rsidR="00160F31" w:rsidRPr="0069016B" w:rsidRDefault="00951ED8" w:rsidP="00160F31">
            <w:pPr>
              <w:autoSpaceDE w:val="0"/>
              <w:autoSpaceDN w:val="0"/>
              <w:adjustRightInd w:val="0"/>
              <w:contextualSpacing/>
              <w:jc w:val="both"/>
              <w:rPr>
                <w:rFonts w:eastAsia="Calibri"/>
                <w:color w:val="000000"/>
                <w:sz w:val="22"/>
                <w:szCs w:val="22"/>
                <w:lang w:eastAsia="en-US"/>
              </w:rPr>
            </w:pPr>
            <w:r w:rsidRPr="00951ED8">
              <w:rPr>
                <w:rFonts w:eastAsia="Calibri"/>
                <w:color w:val="000000"/>
                <w:sz w:val="22"/>
                <w:szCs w:val="22"/>
                <w:lang w:eastAsia="en-US"/>
              </w:rPr>
              <w:t>Brīvprātīgo ugunsdzēsēju organizāciju atrašanās vietas nepieciešams noteikt balstoties uz risku novērtēšanas rezultātiem (atrašanās vieta nedrīkst tikt balstīta tikai uz prognozēto ierašanās laiku, nozīmīgs faktors ugunsdrošības riska novēršanā ir ugunsdrošības prasību ievērošana objektos (par ko atbildīgs ir objekta īpašnieks, VUGD veic uzraudzību), lai novērstu ugunsgrēka izcelšanos un īstenotu atbilstošu rīcību ugunsgrēka gadījumā, kā arī preventīvie pasākumi (iedzīvotāju izglītošana, ko veic VUGD), lai paaugstinātu iedzīvotāju izpratni par ugunsdrošības riskiem), ņemot to vērā, VUGD ir izstrādājis un 2021.gada 28.septembrī Ministru kabinets pieņēma Informatīvo ziņojumu "Par ugunsdrošības un civilās aizsardzības risku novērtēšanas instrumentu, tā izveidošanas un uzturēšanas izmaksām" (prot.Nr.64, 38.§). Minēto informācijas sistēmu ieviesīs Iekšlietu ministrija sadarbībā ar VUGD un Iekšlietu ministrijas Informācijas centru. Tā nodrošinās to, ka gan VUGD, gan brīvprātīgo ugunsdzēsēju resursi tiks plānoti balstoties uz riska novērtējumu (11 riska avotu kopējā vērtība) attiecīgajā teritorijā, kā arī to ka ugunsdrošības uzraudzība un prevencijas pasākumi tiks plānoti balstoties uz riska novērtēšanas rezultātiem. Plānots, ka minētā informācijas sistēma tiks ieviesta 2024.gada beigās, pēc tā ieviešanas sekotu brīvprātīgo ugunsdzēsēju atrašanās vietu un skaita noteikšana balstoties uz riska novērtēšanas rezultātiem un šis process noslēgtos 2025.gada aprīlī (pielikums).</w:t>
            </w:r>
          </w:p>
        </w:tc>
      </w:tr>
      <w:tr w:rsidR="00B367FF" w:rsidRPr="0069016B" w14:paraId="2AF45257"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7F24E537" w14:textId="77777777" w:rsidR="00B367FF" w:rsidRDefault="00B367FF" w:rsidP="00B367FF">
            <w:pPr>
              <w:pStyle w:val="naisc"/>
              <w:spacing w:before="0" w:after="0"/>
              <w:rPr>
                <w:color w:val="000000"/>
                <w:sz w:val="22"/>
                <w:szCs w:val="22"/>
              </w:rPr>
            </w:pPr>
            <w:r>
              <w:rPr>
                <w:color w:val="000000"/>
                <w:sz w:val="22"/>
                <w:szCs w:val="22"/>
              </w:rPr>
              <w:lastRenderedPageBreak/>
              <w:t>9.</w:t>
            </w:r>
          </w:p>
        </w:tc>
        <w:tc>
          <w:tcPr>
            <w:tcW w:w="2500" w:type="dxa"/>
            <w:tcBorders>
              <w:top w:val="single" w:sz="4" w:space="0" w:color="auto"/>
              <w:bottom w:val="single" w:sz="6" w:space="0" w:color="000000"/>
            </w:tcBorders>
          </w:tcPr>
          <w:p w14:paraId="457A6A63" w14:textId="77777777" w:rsidR="00B367FF" w:rsidRPr="0069016B" w:rsidRDefault="00B367FF" w:rsidP="00B367FF">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0450381A" w14:textId="77777777" w:rsidR="00B367FF" w:rsidRPr="00B367FF" w:rsidRDefault="00B367FF" w:rsidP="00B367FF">
            <w:pPr>
              <w:pStyle w:val="naisc"/>
              <w:spacing w:before="0" w:after="0"/>
              <w:jc w:val="both"/>
              <w:rPr>
                <w:color w:val="000000"/>
                <w:sz w:val="22"/>
                <w:szCs w:val="22"/>
              </w:rPr>
            </w:pPr>
            <w:r w:rsidRPr="00B367FF">
              <w:rPr>
                <w:color w:val="000000"/>
                <w:sz w:val="22"/>
                <w:szCs w:val="22"/>
              </w:rPr>
              <w:t>2.</w:t>
            </w:r>
            <w:r w:rsidRPr="00B367FF">
              <w:rPr>
                <w:color w:val="000000"/>
                <w:sz w:val="22"/>
                <w:szCs w:val="22"/>
              </w:rPr>
              <w:tab/>
              <w:t>Saskaņā ar Ministru kabineta 2014. gada 26. augusta protokollēmuma Nr. 45 45.§ 13.3. apakšpunktu atbildīgā ministrija normatīvā akta projektu izstrādā tikai tādā gadījumā, ja attiecīgo situāciju nav iespējams atrisināt citā veidā, kā arī pēc iespējas izvairoties no liekas normatīvo aktu jaunrades. Ievērojot minēto, lūdzam precizēt informatīvā ziņojuma projekta 3.4. apakšnodaļā ietverto uzdevumu, jauna likumprojekta par ugunsdrošību un ugunsdzēsību izstrādes vietā paredzot grozīt esošo Ugunsdrošības un ugunsdzēsības likumu. Jo ar jaunā likuma spēkā stāšanos, spēku zaudēs gan Ugunsdrošības un ugunsdzēsības likums, gan uz tā pamata izdotie 13 Ministru kabineta noteikumi, kurus būs nepieciešams pārstrādāt un izdot no jauna.</w:t>
            </w:r>
          </w:p>
        </w:tc>
        <w:tc>
          <w:tcPr>
            <w:tcW w:w="2061" w:type="dxa"/>
            <w:tcBorders>
              <w:top w:val="single" w:sz="6" w:space="0" w:color="000000"/>
              <w:left w:val="single" w:sz="6" w:space="0" w:color="000000"/>
              <w:bottom w:val="single" w:sz="6" w:space="0" w:color="000000"/>
              <w:right w:val="single" w:sz="6" w:space="0" w:color="000000"/>
            </w:tcBorders>
          </w:tcPr>
          <w:p w14:paraId="1484F2A6" w14:textId="77777777" w:rsidR="00B367FF" w:rsidRDefault="00B367FF" w:rsidP="00B367FF">
            <w:pPr>
              <w:jc w:val="center"/>
            </w:pPr>
            <w:r w:rsidRPr="00173935">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4B5D7C6E" w14:textId="77777777" w:rsidR="00B367FF" w:rsidRDefault="003D569B" w:rsidP="00B367FF">
            <w:pPr>
              <w:autoSpaceDE w:val="0"/>
              <w:autoSpaceDN w:val="0"/>
              <w:adjustRightInd w:val="0"/>
              <w:contextualSpacing/>
              <w:jc w:val="both"/>
              <w:rPr>
                <w:rFonts w:eastAsia="Calibri"/>
                <w:color w:val="000000"/>
                <w:sz w:val="22"/>
                <w:szCs w:val="22"/>
                <w:lang w:eastAsia="en-US"/>
              </w:rPr>
            </w:pPr>
            <w:r>
              <w:rPr>
                <w:rFonts w:eastAsia="Calibri"/>
                <w:color w:val="000000"/>
                <w:sz w:val="22"/>
                <w:szCs w:val="22"/>
                <w:lang w:eastAsia="en-US"/>
              </w:rPr>
              <w:t>Precizēta Informatīvā ziņojuma 3.4.apakšnodaļa</w:t>
            </w:r>
          </w:p>
          <w:p w14:paraId="5C7B75A8" w14:textId="77777777" w:rsidR="003D569B" w:rsidRDefault="003D569B" w:rsidP="00B367FF">
            <w:pPr>
              <w:autoSpaceDE w:val="0"/>
              <w:autoSpaceDN w:val="0"/>
              <w:adjustRightInd w:val="0"/>
              <w:contextualSpacing/>
              <w:jc w:val="both"/>
              <w:rPr>
                <w:rFonts w:eastAsia="Calibri"/>
                <w:color w:val="000000"/>
                <w:sz w:val="22"/>
                <w:szCs w:val="22"/>
                <w:lang w:eastAsia="en-US"/>
              </w:rPr>
            </w:pPr>
          </w:p>
          <w:p w14:paraId="29BF4CDC" w14:textId="58C97D29" w:rsidR="003D569B" w:rsidRPr="0069016B" w:rsidRDefault="008124B1" w:rsidP="00B367FF">
            <w:pPr>
              <w:autoSpaceDE w:val="0"/>
              <w:autoSpaceDN w:val="0"/>
              <w:adjustRightInd w:val="0"/>
              <w:contextualSpacing/>
              <w:jc w:val="both"/>
              <w:rPr>
                <w:rFonts w:eastAsia="Calibri"/>
                <w:color w:val="000000"/>
                <w:sz w:val="22"/>
                <w:szCs w:val="22"/>
                <w:lang w:eastAsia="en-US"/>
              </w:rPr>
            </w:pPr>
            <w:r w:rsidRPr="008124B1">
              <w:rPr>
                <w:rFonts w:eastAsia="Calibri"/>
                <w:color w:val="000000"/>
                <w:sz w:val="22"/>
                <w:szCs w:val="22"/>
                <w:lang w:eastAsia="en-US"/>
              </w:rPr>
              <w:t xml:space="preserve">Ņemot vērā Konceptuālajā ziņojuma 4.tabulā (2.pasākumā), 20.tabulā  noteikto </w:t>
            </w:r>
            <w:r w:rsidRPr="00CB43EB">
              <w:rPr>
                <w:rFonts w:eastAsia="Calibri"/>
                <w:sz w:val="22"/>
                <w:szCs w:val="22"/>
                <w:lang w:eastAsia="en-US"/>
              </w:rPr>
              <w:t xml:space="preserve">un izvērtējot tiesību aktos veicamo grozījumu apjomu un lietderību, </w:t>
            </w:r>
            <w:r w:rsidRPr="008124B1">
              <w:rPr>
                <w:rFonts w:eastAsia="Calibri"/>
                <w:color w:val="000000"/>
                <w:sz w:val="22"/>
                <w:szCs w:val="22"/>
                <w:lang w:eastAsia="en-US"/>
              </w:rPr>
              <w:t xml:space="preserve">Iekšlietu ministrijai sadarbībā ar VUGD līdz 2023. gada 30. novembrim nepieciešams izstrādāt  jaunu likumprojektu par ugunsdrošību un ugunsdzēsību un uz tā pamata izdotos Ministru kabineta noteikumus (pielikums), kas stāsies spēkā 2024.gada 1.janvārī, kur tiktu iekļauta brīvprātīgo ugunsdzēsēju definīcija, to pienākumi un tiesības, tiem nepieciešamā kvalifikācija, ja nepieciešams, fiziskās sagatavotības vai medicīniskās atbilstības prasības, apdrošināšanas nosacījumi, ja nepieciešams citas sociālās garantijas, kā arī kompensācijas apjoms par veiktajiem pienākumiem.  </w:t>
            </w:r>
          </w:p>
        </w:tc>
      </w:tr>
      <w:tr w:rsidR="00B367FF" w:rsidRPr="0069016B" w14:paraId="560776DA"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7A0792D7" w14:textId="77777777" w:rsidR="00B367FF" w:rsidRDefault="00B367FF" w:rsidP="00B367FF">
            <w:pPr>
              <w:pStyle w:val="naisc"/>
              <w:spacing w:before="0" w:after="0"/>
              <w:rPr>
                <w:color w:val="000000"/>
                <w:sz w:val="22"/>
                <w:szCs w:val="22"/>
              </w:rPr>
            </w:pPr>
            <w:r>
              <w:rPr>
                <w:color w:val="000000"/>
                <w:sz w:val="22"/>
                <w:szCs w:val="22"/>
              </w:rPr>
              <w:t>10.</w:t>
            </w:r>
          </w:p>
        </w:tc>
        <w:tc>
          <w:tcPr>
            <w:tcW w:w="2500" w:type="dxa"/>
            <w:tcBorders>
              <w:top w:val="single" w:sz="4" w:space="0" w:color="auto"/>
              <w:bottom w:val="single" w:sz="6" w:space="0" w:color="000000"/>
            </w:tcBorders>
          </w:tcPr>
          <w:p w14:paraId="0F994E00" w14:textId="77777777" w:rsidR="00B367FF" w:rsidRPr="0069016B" w:rsidRDefault="00B367FF" w:rsidP="00B367FF">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07520E46" w14:textId="77777777" w:rsidR="00B367FF" w:rsidRPr="00B367FF" w:rsidRDefault="00B367FF" w:rsidP="00B367FF">
            <w:pPr>
              <w:pStyle w:val="naisc"/>
              <w:spacing w:before="0" w:after="0"/>
              <w:jc w:val="both"/>
              <w:rPr>
                <w:color w:val="000000"/>
                <w:sz w:val="22"/>
                <w:szCs w:val="22"/>
              </w:rPr>
            </w:pPr>
            <w:r w:rsidRPr="00B367FF">
              <w:rPr>
                <w:color w:val="000000"/>
                <w:sz w:val="22"/>
                <w:szCs w:val="22"/>
              </w:rPr>
              <w:t>3.</w:t>
            </w:r>
            <w:r w:rsidRPr="00B367FF">
              <w:rPr>
                <w:color w:val="000000"/>
                <w:sz w:val="22"/>
                <w:szCs w:val="22"/>
              </w:rPr>
              <w:tab/>
              <w:t xml:space="preserve">Lūdzam papildināt informatīvā ziņojuma projekta 6. tabulā konstatēto draudu "sarežģīti nodrošināt pēc apmācību (zināšanu atjaunināšanu)" </w:t>
            </w:r>
            <w:r w:rsidRPr="00B92302">
              <w:rPr>
                <w:color w:val="000000"/>
                <w:sz w:val="22"/>
                <w:szCs w:val="22"/>
              </w:rPr>
              <w:t>pamatojumu, skaidrojot, kādi šķēršļi pēc apmācību nodrošināšanas tika konstatēti pilotprojekta izstrādes laikā un kā iespējams tos novērst.</w:t>
            </w:r>
          </w:p>
        </w:tc>
        <w:tc>
          <w:tcPr>
            <w:tcW w:w="2061" w:type="dxa"/>
            <w:tcBorders>
              <w:top w:val="single" w:sz="6" w:space="0" w:color="000000"/>
              <w:left w:val="single" w:sz="6" w:space="0" w:color="000000"/>
              <w:bottom w:val="single" w:sz="6" w:space="0" w:color="000000"/>
              <w:right w:val="single" w:sz="6" w:space="0" w:color="000000"/>
            </w:tcBorders>
          </w:tcPr>
          <w:p w14:paraId="71FA56B6" w14:textId="77777777" w:rsidR="00B367FF" w:rsidRDefault="00B367FF" w:rsidP="00B367FF">
            <w:pPr>
              <w:jc w:val="center"/>
            </w:pPr>
            <w:r w:rsidRPr="00173935">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2BDD88AB" w14:textId="77777777" w:rsidR="00B367FF" w:rsidRDefault="00D8037D" w:rsidP="00B367FF">
            <w:pPr>
              <w:autoSpaceDE w:val="0"/>
              <w:autoSpaceDN w:val="0"/>
              <w:adjustRightInd w:val="0"/>
              <w:contextualSpacing/>
              <w:jc w:val="both"/>
              <w:rPr>
                <w:rFonts w:eastAsia="Calibri"/>
                <w:color w:val="000000"/>
                <w:sz w:val="22"/>
                <w:szCs w:val="22"/>
                <w:lang w:eastAsia="en-US"/>
              </w:rPr>
            </w:pPr>
            <w:r>
              <w:rPr>
                <w:rFonts w:eastAsia="Calibri"/>
                <w:color w:val="000000"/>
                <w:sz w:val="22"/>
                <w:szCs w:val="22"/>
                <w:lang w:eastAsia="en-US"/>
              </w:rPr>
              <w:t>Papildināts Informatīvā ziņojuma 6.tabulas drauds</w:t>
            </w:r>
          </w:p>
          <w:p w14:paraId="6CD0C808" w14:textId="77777777" w:rsidR="00D8037D" w:rsidRDefault="00D8037D" w:rsidP="00B367FF">
            <w:pPr>
              <w:autoSpaceDE w:val="0"/>
              <w:autoSpaceDN w:val="0"/>
              <w:adjustRightInd w:val="0"/>
              <w:contextualSpacing/>
              <w:jc w:val="both"/>
              <w:rPr>
                <w:rFonts w:eastAsia="Calibri"/>
                <w:color w:val="000000"/>
                <w:sz w:val="22"/>
                <w:szCs w:val="22"/>
                <w:lang w:eastAsia="en-US"/>
              </w:rPr>
            </w:pPr>
          </w:p>
          <w:p w14:paraId="2096D8CA" w14:textId="6F3F8739" w:rsidR="00D8037D" w:rsidRPr="0069016B" w:rsidRDefault="00D8037D" w:rsidP="00B367FF">
            <w:pPr>
              <w:autoSpaceDE w:val="0"/>
              <w:autoSpaceDN w:val="0"/>
              <w:adjustRightInd w:val="0"/>
              <w:contextualSpacing/>
              <w:jc w:val="both"/>
              <w:rPr>
                <w:rFonts w:eastAsia="Calibri"/>
                <w:color w:val="000000"/>
                <w:sz w:val="22"/>
                <w:szCs w:val="22"/>
                <w:lang w:eastAsia="en-US"/>
              </w:rPr>
            </w:pPr>
            <w:r w:rsidRPr="00D8037D">
              <w:rPr>
                <w:rFonts w:eastAsia="Calibri"/>
                <w:color w:val="000000"/>
                <w:sz w:val="22"/>
                <w:szCs w:val="22"/>
                <w:lang w:eastAsia="en-US"/>
              </w:rPr>
              <w:t>sarežģīti nodrošināt pēc mācību (</w:t>
            </w:r>
            <w:r w:rsidRPr="00D8037D">
              <w:rPr>
                <w:rFonts w:eastAsia="Calibri"/>
                <w:i/>
                <w:color w:val="000000"/>
                <w:sz w:val="22"/>
                <w:szCs w:val="22"/>
                <w:lang w:eastAsia="en-US"/>
              </w:rPr>
              <w:t>zināšanu atjaunināšanu, kas ir saistīta ar to, ka pēc apmācība ir jāveic</w:t>
            </w:r>
            <w:r w:rsidRPr="00D8037D">
              <w:rPr>
                <w:rFonts w:eastAsia="Calibri"/>
                <w:color w:val="000000"/>
                <w:sz w:val="22"/>
                <w:szCs w:val="22"/>
                <w:lang w:eastAsia="en-US"/>
              </w:rPr>
              <w:t xml:space="preserve"> </w:t>
            </w:r>
            <w:r w:rsidRPr="00D8037D">
              <w:rPr>
                <w:rFonts w:eastAsia="Calibri"/>
                <w:i/>
                <w:color w:val="000000"/>
                <w:sz w:val="22"/>
                <w:szCs w:val="22"/>
                <w:lang w:eastAsia="en-US"/>
              </w:rPr>
              <w:t>brīvajā laikā no darba pienākumiem</w:t>
            </w:r>
            <w:r w:rsidRPr="00D8037D">
              <w:rPr>
                <w:rFonts w:eastAsia="Calibri"/>
                <w:color w:val="000000"/>
                <w:sz w:val="22"/>
                <w:szCs w:val="22"/>
                <w:lang w:eastAsia="en-US"/>
              </w:rPr>
              <w:t xml:space="preserve"> </w:t>
            </w:r>
            <w:r w:rsidRPr="00D8037D">
              <w:rPr>
                <w:rFonts w:eastAsia="Calibri"/>
                <w:i/>
                <w:color w:val="000000"/>
                <w:sz w:val="22"/>
                <w:szCs w:val="22"/>
                <w:lang w:eastAsia="en-US"/>
              </w:rPr>
              <w:t>un ir laikietilpīga, ņemot vērā veicamā uzdevuma specifiku</w:t>
            </w:r>
            <w:r w:rsidRPr="00D8037D">
              <w:rPr>
                <w:rFonts w:eastAsia="Calibri"/>
                <w:color w:val="000000"/>
                <w:sz w:val="22"/>
                <w:szCs w:val="22"/>
                <w:lang w:eastAsia="en-US"/>
              </w:rPr>
              <w:t>)</w:t>
            </w:r>
          </w:p>
        </w:tc>
      </w:tr>
      <w:tr w:rsidR="00B367FF" w:rsidRPr="0069016B" w14:paraId="0A542A4B"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77676F3F" w14:textId="77777777" w:rsidR="00B367FF" w:rsidRDefault="00B367FF" w:rsidP="00AD25EB">
            <w:pPr>
              <w:pStyle w:val="naisc"/>
              <w:spacing w:before="0" w:after="0"/>
              <w:rPr>
                <w:color w:val="000000"/>
                <w:sz w:val="22"/>
                <w:szCs w:val="22"/>
              </w:rPr>
            </w:pPr>
            <w:r>
              <w:rPr>
                <w:color w:val="000000"/>
                <w:sz w:val="22"/>
                <w:szCs w:val="22"/>
              </w:rPr>
              <w:t>11.</w:t>
            </w:r>
          </w:p>
        </w:tc>
        <w:tc>
          <w:tcPr>
            <w:tcW w:w="2500" w:type="dxa"/>
            <w:tcBorders>
              <w:top w:val="single" w:sz="4" w:space="0" w:color="auto"/>
              <w:bottom w:val="single" w:sz="6" w:space="0" w:color="000000"/>
            </w:tcBorders>
          </w:tcPr>
          <w:p w14:paraId="5623ACDC" w14:textId="77777777" w:rsidR="00B367FF" w:rsidRPr="0069016B" w:rsidRDefault="00B367FF"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31AB6032" w14:textId="77777777" w:rsidR="00B367FF" w:rsidRPr="00B367FF" w:rsidRDefault="00B367FF" w:rsidP="00AD25EB">
            <w:pPr>
              <w:pStyle w:val="naisc"/>
              <w:spacing w:before="0" w:after="0"/>
              <w:jc w:val="both"/>
              <w:rPr>
                <w:color w:val="000000"/>
                <w:sz w:val="22"/>
                <w:szCs w:val="22"/>
              </w:rPr>
            </w:pPr>
            <w:r w:rsidRPr="00B367FF">
              <w:rPr>
                <w:color w:val="000000"/>
                <w:sz w:val="22"/>
                <w:szCs w:val="22"/>
              </w:rPr>
              <w:t>4.</w:t>
            </w:r>
            <w:r w:rsidRPr="00B367FF">
              <w:rPr>
                <w:color w:val="000000"/>
                <w:sz w:val="22"/>
                <w:szCs w:val="22"/>
              </w:rPr>
              <w:tab/>
              <w:t xml:space="preserve">Informatīvā ziņojuma projekta 3. nodaļa satur plašu aprakstošu informāciju par VUGD dalību Nīderlandes izpētes projektā 2019. gadā un secinājumu, ka Eiropas valstīs vairāk tiek piemērots brīvprātīgā ugunsdzēsēja dežūras laikā modelis. Vēršam uzmanību uz to, ka nav saprotams šīs informācijas mērķis un </w:t>
            </w:r>
            <w:r w:rsidRPr="00B367FF">
              <w:rPr>
                <w:color w:val="000000"/>
                <w:sz w:val="22"/>
                <w:szCs w:val="22"/>
              </w:rPr>
              <w:lastRenderedPageBreak/>
              <w:t>ietekme uz esošo situāciju Latvijā, proti, vai Latvijā plānots ieviest brīvprātīgo ugunsdzēsēju dežūras modeli. Ievērojot minēto, lūdzam pārstrādāt informatīvā ziņojuma projekta 3. nodaļu, veidojot to atbilstoši konceptuālā ziņojuma 3.4. apakšpunkta 1.a. varianta uzdevumiem, kā arī, sniedzot konkrētus risinājumus un izpildes termiņus (sasaistot ar pielikumu).</w:t>
            </w:r>
          </w:p>
        </w:tc>
        <w:tc>
          <w:tcPr>
            <w:tcW w:w="2061" w:type="dxa"/>
            <w:tcBorders>
              <w:top w:val="single" w:sz="6" w:space="0" w:color="000000"/>
              <w:left w:val="single" w:sz="6" w:space="0" w:color="000000"/>
              <w:bottom w:val="single" w:sz="6" w:space="0" w:color="000000"/>
              <w:right w:val="single" w:sz="6" w:space="0" w:color="000000"/>
            </w:tcBorders>
          </w:tcPr>
          <w:p w14:paraId="169623B3" w14:textId="77777777" w:rsidR="00B367FF" w:rsidRPr="00F635C2" w:rsidRDefault="00B367FF" w:rsidP="00AD25EB">
            <w:pPr>
              <w:pStyle w:val="naisc"/>
              <w:spacing w:before="0" w:after="0"/>
              <w:rPr>
                <w:b/>
                <w:color w:val="000000"/>
                <w:sz w:val="22"/>
                <w:szCs w:val="22"/>
              </w:rPr>
            </w:pPr>
            <w:r>
              <w:rPr>
                <w:b/>
                <w:color w:val="000000"/>
                <w:sz w:val="22"/>
                <w:szCs w:val="22"/>
              </w:rPr>
              <w:lastRenderedPageBreak/>
              <w:t>Ņemts vērā</w:t>
            </w:r>
          </w:p>
        </w:tc>
        <w:tc>
          <w:tcPr>
            <w:tcW w:w="5361" w:type="dxa"/>
            <w:tcBorders>
              <w:top w:val="single" w:sz="4" w:space="0" w:color="auto"/>
              <w:left w:val="single" w:sz="4" w:space="0" w:color="auto"/>
              <w:bottom w:val="single" w:sz="4" w:space="0" w:color="auto"/>
              <w:right w:val="single" w:sz="4" w:space="0" w:color="auto"/>
            </w:tcBorders>
          </w:tcPr>
          <w:p w14:paraId="18E45316" w14:textId="77777777" w:rsidR="00B367FF" w:rsidRPr="0069016B" w:rsidRDefault="00951ED8" w:rsidP="00951ED8">
            <w:pPr>
              <w:autoSpaceDE w:val="0"/>
              <w:autoSpaceDN w:val="0"/>
              <w:adjustRightInd w:val="0"/>
              <w:contextualSpacing/>
              <w:jc w:val="both"/>
              <w:rPr>
                <w:rFonts w:eastAsia="Calibri"/>
                <w:color w:val="000000"/>
                <w:sz w:val="22"/>
                <w:szCs w:val="22"/>
                <w:lang w:eastAsia="en-US"/>
              </w:rPr>
            </w:pPr>
            <w:r>
              <w:rPr>
                <w:rFonts w:eastAsia="Calibri"/>
                <w:color w:val="000000"/>
                <w:sz w:val="22"/>
                <w:szCs w:val="22"/>
                <w:lang w:eastAsia="en-US"/>
              </w:rPr>
              <w:t>Precizēta informatīvā ziņojuma 3.nodaļa un tā sasistīta ar pielikuma redakciju</w:t>
            </w:r>
          </w:p>
        </w:tc>
      </w:tr>
      <w:tr w:rsidR="00B367FF" w:rsidRPr="0069016B" w14:paraId="2FA5FD95"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59E734AB" w14:textId="77777777" w:rsidR="00B367FF" w:rsidRDefault="00B367FF" w:rsidP="00AD25EB">
            <w:pPr>
              <w:pStyle w:val="naisc"/>
              <w:spacing w:before="0" w:after="0"/>
              <w:rPr>
                <w:color w:val="000000"/>
                <w:sz w:val="22"/>
                <w:szCs w:val="22"/>
              </w:rPr>
            </w:pPr>
            <w:r>
              <w:rPr>
                <w:color w:val="000000"/>
                <w:sz w:val="22"/>
                <w:szCs w:val="22"/>
              </w:rPr>
              <w:t>12.</w:t>
            </w:r>
          </w:p>
        </w:tc>
        <w:tc>
          <w:tcPr>
            <w:tcW w:w="2500" w:type="dxa"/>
            <w:tcBorders>
              <w:top w:val="single" w:sz="4" w:space="0" w:color="auto"/>
              <w:bottom w:val="single" w:sz="6" w:space="0" w:color="000000"/>
            </w:tcBorders>
          </w:tcPr>
          <w:p w14:paraId="15DC7185" w14:textId="77777777" w:rsidR="00B367FF" w:rsidRPr="0069016B" w:rsidRDefault="00B367FF"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44FBB649" w14:textId="77777777" w:rsidR="00B367FF" w:rsidRPr="00B367FF" w:rsidRDefault="00B367FF" w:rsidP="00B367FF">
            <w:pPr>
              <w:pStyle w:val="naisc"/>
              <w:spacing w:before="0" w:after="0"/>
              <w:jc w:val="both"/>
              <w:rPr>
                <w:color w:val="000000"/>
                <w:sz w:val="22"/>
                <w:szCs w:val="22"/>
              </w:rPr>
            </w:pPr>
            <w:r w:rsidRPr="00B367FF">
              <w:rPr>
                <w:color w:val="000000"/>
                <w:sz w:val="22"/>
                <w:szCs w:val="22"/>
              </w:rPr>
              <w:t>5.</w:t>
            </w:r>
            <w:r w:rsidRPr="00B367FF">
              <w:rPr>
                <w:color w:val="000000"/>
                <w:sz w:val="22"/>
                <w:szCs w:val="22"/>
              </w:rPr>
              <w:tab/>
              <w:t>Lūdzam precizēt informatīvā ziņojuma projekta 3.1. apakšnodaļu, jo no tās nav skaidri saprotams, par kādu informācijas sistēmu ir runa.</w:t>
            </w:r>
          </w:p>
        </w:tc>
        <w:tc>
          <w:tcPr>
            <w:tcW w:w="2061" w:type="dxa"/>
            <w:tcBorders>
              <w:top w:val="single" w:sz="6" w:space="0" w:color="000000"/>
              <w:left w:val="single" w:sz="6" w:space="0" w:color="000000"/>
              <w:bottom w:val="single" w:sz="6" w:space="0" w:color="000000"/>
              <w:right w:val="single" w:sz="6" w:space="0" w:color="000000"/>
            </w:tcBorders>
          </w:tcPr>
          <w:p w14:paraId="078CE67D" w14:textId="77777777" w:rsidR="00B367FF" w:rsidRPr="00F635C2" w:rsidRDefault="00B367FF" w:rsidP="00AD25EB">
            <w:pPr>
              <w:pStyle w:val="naisc"/>
              <w:spacing w:before="0" w:after="0"/>
              <w:rPr>
                <w:b/>
                <w:color w:val="000000"/>
                <w:sz w:val="22"/>
                <w:szCs w:val="22"/>
              </w:rPr>
            </w:pPr>
            <w:r>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43730654" w14:textId="77777777" w:rsidR="0059000A" w:rsidRPr="0059000A" w:rsidRDefault="0059000A" w:rsidP="0059000A">
            <w:pPr>
              <w:autoSpaceDE w:val="0"/>
              <w:autoSpaceDN w:val="0"/>
              <w:adjustRightInd w:val="0"/>
              <w:contextualSpacing/>
              <w:jc w:val="both"/>
              <w:rPr>
                <w:rFonts w:eastAsia="Calibri"/>
                <w:color w:val="000000"/>
                <w:sz w:val="22"/>
                <w:szCs w:val="22"/>
                <w:lang w:eastAsia="en-US"/>
              </w:rPr>
            </w:pPr>
            <w:r w:rsidRPr="0059000A">
              <w:rPr>
                <w:rFonts w:eastAsia="Calibri"/>
                <w:color w:val="000000"/>
                <w:sz w:val="22"/>
                <w:szCs w:val="22"/>
                <w:lang w:eastAsia="en-US"/>
              </w:rPr>
              <w:t>Precizēta Informatīvā ziņojuma 3.1.apakšnodaļa</w:t>
            </w:r>
          </w:p>
          <w:p w14:paraId="2EC691D8" w14:textId="77777777" w:rsidR="0059000A" w:rsidRPr="0059000A" w:rsidRDefault="0059000A" w:rsidP="0059000A">
            <w:pPr>
              <w:autoSpaceDE w:val="0"/>
              <w:autoSpaceDN w:val="0"/>
              <w:adjustRightInd w:val="0"/>
              <w:contextualSpacing/>
              <w:jc w:val="both"/>
              <w:rPr>
                <w:rFonts w:eastAsia="Calibri"/>
                <w:color w:val="000000"/>
                <w:sz w:val="22"/>
                <w:szCs w:val="22"/>
                <w:lang w:eastAsia="en-US"/>
              </w:rPr>
            </w:pPr>
          </w:p>
          <w:p w14:paraId="12D5D055" w14:textId="77777777" w:rsidR="00B367FF" w:rsidRPr="0069016B" w:rsidRDefault="00951ED8" w:rsidP="0059000A">
            <w:pPr>
              <w:autoSpaceDE w:val="0"/>
              <w:autoSpaceDN w:val="0"/>
              <w:adjustRightInd w:val="0"/>
              <w:contextualSpacing/>
              <w:jc w:val="both"/>
              <w:rPr>
                <w:rFonts w:eastAsia="Calibri"/>
                <w:color w:val="000000"/>
                <w:sz w:val="22"/>
                <w:szCs w:val="22"/>
                <w:lang w:eastAsia="en-US"/>
              </w:rPr>
            </w:pPr>
            <w:r w:rsidRPr="00951ED8">
              <w:rPr>
                <w:rFonts w:eastAsia="Calibri"/>
                <w:color w:val="000000"/>
                <w:sz w:val="22"/>
                <w:szCs w:val="22"/>
                <w:lang w:eastAsia="en-US"/>
              </w:rPr>
              <w:t xml:space="preserve">Brīvprātīgo ugunsdzēsēju organizāciju atrašanās vietas nepieciešams noteikt balstoties uz risku novērtēšanas rezultātiem (atrašanās vieta nedrīkst tikt balstīta tikai uz prognozēto ierašanās laiku, nozīmīgs faktors ugunsdrošības riska novēršanā ir ugunsdrošības prasību ievērošana objektos (par ko atbildīgs ir objekta īpašnieks, VUGD veic uzraudzību), lai novērstu ugunsgrēka izcelšanos un īstenotu atbilstošu rīcību ugunsgrēka gadījumā, kā arī preventīvie pasākumi (iedzīvotāju izglītošana, ko veic VUGD), lai paaugstinātu iedzīvotāju izpratni par ugunsdrošības riskiem), ņemot to vērā, VUGD ir izstrādājis un 2021.gada 28.septembrī Ministru kabinets pieņēma Informatīvo ziņojumu "Par ugunsdrošības un civilās aizsardzības risku novērtēšanas instrumentu, tā izveidošanas un uzturēšanas izmaksām" (prot.Nr.64, 38.§). Minēto informācijas sistēmu ieviesīs Iekšlietu ministrija sadarbībā ar VUGD un Iekšlietu ministrijas Informācijas centru. Tā nodrošinās to, ka gan VUGD, gan brīvprātīgo ugunsdzēsēju resursi tiks plānoti balstoties uz riska novērtējumu (11 riska avotu kopējā vērtība) attiecīgajā teritorijā, kā arī to ka ugunsdrošības uzraudzība un prevencijas pasākumi tiks plānoti balstoties uz riska novērtēšanas rezultātiem. Plānots, ka minētā informācijas sistēma tiks ieviesta 2024.gada beigās, pēc tā ieviešanas sekotu brīvprātīgo ugunsdzēsēju atrašanās vietu un skaita </w:t>
            </w:r>
            <w:r w:rsidRPr="00951ED8">
              <w:rPr>
                <w:rFonts w:eastAsia="Calibri"/>
                <w:color w:val="000000"/>
                <w:sz w:val="22"/>
                <w:szCs w:val="22"/>
                <w:lang w:eastAsia="en-US"/>
              </w:rPr>
              <w:lastRenderedPageBreak/>
              <w:t>noteikšana balstoties uz riska novērtēšanas rezultātiem un šis process noslēgtos 2025.gada aprīlī (pielikums).</w:t>
            </w:r>
          </w:p>
        </w:tc>
      </w:tr>
      <w:tr w:rsidR="00B367FF" w:rsidRPr="0069016B" w14:paraId="63E64BB7"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0DFE1985" w14:textId="77777777" w:rsidR="00B367FF" w:rsidRDefault="00B367FF" w:rsidP="00AD25EB">
            <w:pPr>
              <w:pStyle w:val="naisc"/>
              <w:spacing w:before="0" w:after="0"/>
              <w:rPr>
                <w:color w:val="000000"/>
                <w:sz w:val="22"/>
                <w:szCs w:val="22"/>
              </w:rPr>
            </w:pPr>
            <w:r>
              <w:rPr>
                <w:color w:val="000000"/>
                <w:sz w:val="22"/>
                <w:szCs w:val="22"/>
              </w:rPr>
              <w:lastRenderedPageBreak/>
              <w:t>13.</w:t>
            </w:r>
          </w:p>
        </w:tc>
        <w:tc>
          <w:tcPr>
            <w:tcW w:w="2500" w:type="dxa"/>
            <w:tcBorders>
              <w:top w:val="single" w:sz="4" w:space="0" w:color="auto"/>
              <w:bottom w:val="single" w:sz="6" w:space="0" w:color="000000"/>
            </w:tcBorders>
          </w:tcPr>
          <w:p w14:paraId="6825B55E" w14:textId="77777777" w:rsidR="00B367FF" w:rsidRPr="0069016B" w:rsidRDefault="00B367FF"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09ABBDE1" w14:textId="77777777" w:rsidR="00B367FF" w:rsidRDefault="00B367FF" w:rsidP="00AD25EB">
            <w:pPr>
              <w:pStyle w:val="naisc"/>
              <w:spacing w:before="0" w:after="0"/>
              <w:jc w:val="both"/>
              <w:rPr>
                <w:color w:val="000000"/>
                <w:sz w:val="22"/>
                <w:szCs w:val="22"/>
              </w:rPr>
            </w:pPr>
            <w:r w:rsidRPr="00B367FF">
              <w:rPr>
                <w:color w:val="000000"/>
                <w:sz w:val="22"/>
                <w:szCs w:val="22"/>
              </w:rPr>
              <w:t>6.</w:t>
            </w:r>
            <w:r w:rsidRPr="00B367FF">
              <w:rPr>
                <w:color w:val="000000"/>
                <w:sz w:val="22"/>
                <w:szCs w:val="22"/>
              </w:rPr>
              <w:tab/>
              <w:t>Informatīvā ziņojuma projekta 3.2. apakšnodaļā ir sniegta informācija, ka VUGD notiek darbs pie jauna profesijas standarta izstrādes, kas noslēgsies 2021. gadā. Jaunais profesijas standarts noteiks apmācības prasības pašvaldību ugunsdzēsības dienestu (vai formējumu) un brīvprātīgo ugunsdzēsēju organizāciju darbiniekiem. Savukārt informatīvā ziņojuma projekta pielikumā ietverta informācija par profesiju standarta "izstrādi (aktualizāciju)". Ievērojot minēto, lūdzam saskaņot informatīvā ziņojuma projektā un tā pielikumā sniegto informāciju, nosakot, vai tiks izstrādāts jauns profesiju standarts vai aktualizēts esošais.</w:t>
            </w:r>
          </w:p>
          <w:p w14:paraId="1CA01557" w14:textId="77777777" w:rsidR="00B367FF" w:rsidRPr="00B367FF" w:rsidRDefault="00B367FF" w:rsidP="00AD25EB">
            <w:pPr>
              <w:pStyle w:val="naisc"/>
              <w:spacing w:before="0" w:after="0"/>
              <w:jc w:val="both"/>
              <w:rPr>
                <w:color w:val="000000"/>
                <w:sz w:val="22"/>
                <w:szCs w:val="22"/>
              </w:rPr>
            </w:pPr>
            <w:r w:rsidRPr="00B367FF">
              <w:rPr>
                <w:color w:val="000000"/>
                <w:sz w:val="22"/>
                <w:szCs w:val="22"/>
              </w:rPr>
              <w:t>Tāpat saskaņā ar Profesionālās izglītības likuma 24. pantu profesijas standarts nosaka profesijai atbilstošos profesionālās darbības pamatuzdevumus un pienākumus, profesionālās kvalifikācijas prasības, to izpildei nepieciešamās vispārējās un profesionālās zināšanas, prasmes, attieksmes un kompetences, taču nenosaka apmācību prasības. Ievērojot minēto, lūdzam precizēt informatīvā ziņojuma projekta 3.2. apakšnodaļu.</w:t>
            </w:r>
          </w:p>
        </w:tc>
        <w:tc>
          <w:tcPr>
            <w:tcW w:w="2061" w:type="dxa"/>
            <w:tcBorders>
              <w:top w:val="single" w:sz="6" w:space="0" w:color="000000"/>
              <w:left w:val="single" w:sz="6" w:space="0" w:color="000000"/>
              <w:bottom w:val="single" w:sz="6" w:space="0" w:color="000000"/>
              <w:right w:val="single" w:sz="6" w:space="0" w:color="000000"/>
            </w:tcBorders>
          </w:tcPr>
          <w:p w14:paraId="445F71B6" w14:textId="77777777" w:rsidR="00B367FF" w:rsidRPr="00F635C2" w:rsidRDefault="00B367FF" w:rsidP="00AD25EB">
            <w:pPr>
              <w:pStyle w:val="naisc"/>
              <w:spacing w:before="0" w:after="0"/>
              <w:rPr>
                <w:b/>
                <w:color w:val="000000"/>
                <w:sz w:val="22"/>
                <w:szCs w:val="22"/>
              </w:rPr>
            </w:pPr>
            <w:r>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1C9A3B6B" w14:textId="77777777" w:rsidR="00B367FF" w:rsidRPr="0069016B" w:rsidRDefault="00B41188" w:rsidP="00B41188">
            <w:pPr>
              <w:autoSpaceDE w:val="0"/>
              <w:autoSpaceDN w:val="0"/>
              <w:adjustRightInd w:val="0"/>
              <w:contextualSpacing/>
              <w:jc w:val="both"/>
              <w:rPr>
                <w:rFonts w:eastAsia="Calibri"/>
                <w:color w:val="000000"/>
                <w:sz w:val="22"/>
                <w:szCs w:val="22"/>
                <w:lang w:eastAsia="en-US"/>
              </w:rPr>
            </w:pPr>
            <w:r w:rsidRPr="00B41188">
              <w:rPr>
                <w:rFonts w:eastAsia="Calibri"/>
                <w:color w:val="000000"/>
                <w:sz w:val="22"/>
                <w:szCs w:val="22"/>
                <w:lang w:eastAsia="en-US"/>
              </w:rPr>
              <w:t>Precizēta Informatīvā ziņojuma 3.</w:t>
            </w:r>
            <w:r>
              <w:rPr>
                <w:rFonts w:eastAsia="Calibri"/>
                <w:color w:val="000000"/>
                <w:sz w:val="22"/>
                <w:szCs w:val="22"/>
                <w:lang w:eastAsia="en-US"/>
              </w:rPr>
              <w:t>2</w:t>
            </w:r>
            <w:r w:rsidRPr="00B41188">
              <w:rPr>
                <w:rFonts w:eastAsia="Calibri"/>
                <w:color w:val="000000"/>
                <w:sz w:val="22"/>
                <w:szCs w:val="22"/>
                <w:lang w:eastAsia="en-US"/>
              </w:rPr>
              <w:t>.apakšnodaļa</w:t>
            </w:r>
          </w:p>
        </w:tc>
      </w:tr>
      <w:tr w:rsidR="00B367FF" w:rsidRPr="0069016B" w14:paraId="6C13E80E"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14F38F23" w14:textId="77777777" w:rsidR="00B367FF" w:rsidRDefault="00B367FF" w:rsidP="00AD25EB">
            <w:pPr>
              <w:pStyle w:val="naisc"/>
              <w:spacing w:before="0" w:after="0"/>
              <w:rPr>
                <w:color w:val="000000"/>
                <w:sz w:val="22"/>
                <w:szCs w:val="22"/>
              </w:rPr>
            </w:pPr>
            <w:r>
              <w:rPr>
                <w:color w:val="000000"/>
                <w:sz w:val="22"/>
                <w:szCs w:val="22"/>
              </w:rPr>
              <w:t>14.</w:t>
            </w:r>
          </w:p>
        </w:tc>
        <w:tc>
          <w:tcPr>
            <w:tcW w:w="2500" w:type="dxa"/>
            <w:tcBorders>
              <w:top w:val="single" w:sz="4" w:space="0" w:color="auto"/>
              <w:bottom w:val="single" w:sz="6" w:space="0" w:color="000000"/>
            </w:tcBorders>
          </w:tcPr>
          <w:p w14:paraId="5EC6FB85" w14:textId="77777777" w:rsidR="00B367FF" w:rsidRPr="0069016B" w:rsidRDefault="00B367FF"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12ABF3F0" w14:textId="77777777" w:rsidR="00B367FF" w:rsidRPr="00B367FF" w:rsidRDefault="00B367FF" w:rsidP="00AD25EB">
            <w:pPr>
              <w:pStyle w:val="naisc"/>
              <w:spacing w:before="0" w:after="0"/>
              <w:jc w:val="both"/>
              <w:rPr>
                <w:color w:val="000000"/>
                <w:sz w:val="22"/>
                <w:szCs w:val="22"/>
              </w:rPr>
            </w:pPr>
            <w:r w:rsidRPr="00B367FF">
              <w:rPr>
                <w:color w:val="000000"/>
                <w:sz w:val="22"/>
                <w:szCs w:val="22"/>
              </w:rPr>
              <w:t>7.</w:t>
            </w:r>
            <w:r w:rsidRPr="00B367FF">
              <w:rPr>
                <w:color w:val="000000"/>
                <w:sz w:val="22"/>
                <w:szCs w:val="22"/>
              </w:rPr>
              <w:tab/>
              <w:t xml:space="preserve">Lūdzam precizēt informatīvā ziņojuma projekta 3.3. apakšnodaļu, papildinot to ar konkrētu konstatētās problēmas risinājumu – ko nepieciešams veikt, </w:t>
            </w:r>
            <w:r w:rsidRPr="00B92302">
              <w:rPr>
                <w:sz w:val="22"/>
                <w:szCs w:val="22"/>
              </w:rPr>
              <w:t xml:space="preserve">lai nodrošinātu brīvprātīgo </w:t>
            </w:r>
            <w:r w:rsidRPr="00B92302">
              <w:rPr>
                <w:sz w:val="22"/>
                <w:szCs w:val="22"/>
              </w:rPr>
              <w:lastRenderedPageBreak/>
              <w:t>ugunsdzēsēju pieņemšanu darbā un to noturēšanu.</w:t>
            </w:r>
          </w:p>
        </w:tc>
        <w:tc>
          <w:tcPr>
            <w:tcW w:w="2061" w:type="dxa"/>
            <w:tcBorders>
              <w:top w:val="single" w:sz="6" w:space="0" w:color="000000"/>
              <w:left w:val="single" w:sz="6" w:space="0" w:color="000000"/>
              <w:bottom w:val="single" w:sz="6" w:space="0" w:color="000000"/>
              <w:right w:val="single" w:sz="6" w:space="0" w:color="000000"/>
            </w:tcBorders>
          </w:tcPr>
          <w:p w14:paraId="69B9F0C3" w14:textId="77777777" w:rsidR="00B367FF" w:rsidRPr="00F635C2" w:rsidRDefault="00B367FF" w:rsidP="00AD25EB">
            <w:pPr>
              <w:pStyle w:val="naisc"/>
              <w:spacing w:before="0" w:after="0"/>
              <w:rPr>
                <w:b/>
                <w:color w:val="000000"/>
                <w:sz w:val="22"/>
                <w:szCs w:val="22"/>
              </w:rPr>
            </w:pPr>
            <w:r>
              <w:rPr>
                <w:b/>
                <w:color w:val="000000"/>
                <w:sz w:val="22"/>
                <w:szCs w:val="22"/>
              </w:rPr>
              <w:lastRenderedPageBreak/>
              <w:t>Ņemts vērā</w:t>
            </w:r>
          </w:p>
        </w:tc>
        <w:tc>
          <w:tcPr>
            <w:tcW w:w="5361" w:type="dxa"/>
            <w:tcBorders>
              <w:top w:val="single" w:sz="4" w:space="0" w:color="auto"/>
              <w:left w:val="single" w:sz="4" w:space="0" w:color="auto"/>
              <w:bottom w:val="single" w:sz="4" w:space="0" w:color="auto"/>
              <w:right w:val="single" w:sz="4" w:space="0" w:color="auto"/>
            </w:tcBorders>
          </w:tcPr>
          <w:p w14:paraId="1D5659FC" w14:textId="77777777" w:rsidR="00B367FF" w:rsidRDefault="00B41188" w:rsidP="00B41188">
            <w:pPr>
              <w:autoSpaceDE w:val="0"/>
              <w:autoSpaceDN w:val="0"/>
              <w:adjustRightInd w:val="0"/>
              <w:contextualSpacing/>
              <w:jc w:val="both"/>
              <w:rPr>
                <w:rFonts w:eastAsia="Calibri"/>
                <w:color w:val="000000"/>
                <w:sz w:val="22"/>
                <w:szCs w:val="22"/>
                <w:lang w:eastAsia="en-US"/>
              </w:rPr>
            </w:pPr>
            <w:r>
              <w:rPr>
                <w:rFonts w:eastAsia="Calibri"/>
                <w:color w:val="000000"/>
                <w:sz w:val="22"/>
                <w:szCs w:val="22"/>
                <w:lang w:eastAsia="en-US"/>
              </w:rPr>
              <w:t xml:space="preserve">Papildināta </w:t>
            </w:r>
            <w:r w:rsidRPr="00B41188">
              <w:rPr>
                <w:rFonts w:eastAsia="Calibri"/>
                <w:color w:val="000000"/>
                <w:sz w:val="22"/>
                <w:szCs w:val="22"/>
                <w:lang w:eastAsia="en-US"/>
              </w:rPr>
              <w:t>Informatīvā ziņojuma 3.</w:t>
            </w:r>
            <w:r>
              <w:rPr>
                <w:rFonts w:eastAsia="Calibri"/>
                <w:color w:val="000000"/>
                <w:sz w:val="22"/>
                <w:szCs w:val="22"/>
                <w:lang w:eastAsia="en-US"/>
              </w:rPr>
              <w:t>3</w:t>
            </w:r>
            <w:r w:rsidRPr="00B41188">
              <w:rPr>
                <w:rFonts w:eastAsia="Calibri"/>
                <w:color w:val="000000"/>
                <w:sz w:val="22"/>
                <w:szCs w:val="22"/>
                <w:lang w:eastAsia="en-US"/>
              </w:rPr>
              <w:t>.apakšnodaļa</w:t>
            </w:r>
            <w:r>
              <w:rPr>
                <w:rFonts w:eastAsia="Calibri"/>
                <w:color w:val="000000"/>
                <w:sz w:val="22"/>
                <w:szCs w:val="22"/>
                <w:lang w:eastAsia="en-US"/>
              </w:rPr>
              <w:t xml:space="preserve"> ar jaunu rindkopu</w:t>
            </w:r>
          </w:p>
          <w:p w14:paraId="14C6D6AA" w14:textId="77777777" w:rsidR="00B41188" w:rsidRDefault="00B41188" w:rsidP="00B41188">
            <w:pPr>
              <w:autoSpaceDE w:val="0"/>
              <w:autoSpaceDN w:val="0"/>
              <w:adjustRightInd w:val="0"/>
              <w:contextualSpacing/>
              <w:jc w:val="both"/>
              <w:rPr>
                <w:rFonts w:eastAsia="Calibri"/>
                <w:color w:val="000000"/>
                <w:sz w:val="22"/>
                <w:szCs w:val="22"/>
                <w:lang w:eastAsia="en-US"/>
              </w:rPr>
            </w:pPr>
          </w:p>
          <w:p w14:paraId="2B26017D" w14:textId="63B9F02B" w:rsidR="00B41188" w:rsidRPr="0069016B" w:rsidRDefault="00B41188" w:rsidP="00B41188">
            <w:pPr>
              <w:autoSpaceDE w:val="0"/>
              <w:autoSpaceDN w:val="0"/>
              <w:adjustRightInd w:val="0"/>
              <w:contextualSpacing/>
              <w:jc w:val="both"/>
              <w:rPr>
                <w:rFonts w:eastAsia="Calibri"/>
                <w:color w:val="000000"/>
                <w:sz w:val="22"/>
                <w:szCs w:val="22"/>
                <w:lang w:eastAsia="en-US"/>
              </w:rPr>
            </w:pPr>
            <w:r w:rsidRPr="00B41188">
              <w:rPr>
                <w:rFonts w:eastAsia="Calibri"/>
                <w:color w:val="000000"/>
                <w:sz w:val="22"/>
                <w:szCs w:val="22"/>
                <w:lang w:eastAsia="en-US"/>
              </w:rPr>
              <w:t xml:space="preserve">Šī informatīvā ziņojuma 3.2. apakšnodaļā minētais mācības veids, kā arī 3.1.apakšnodaļā minētā resursu </w:t>
            </w:r>
            <w:r w:rsidRPr="00B41188">
              <w:rPr>
                <w:rFonts w:eastAsia="Calibri"/>
                <w:color w:val="000000"/>
                <w:sz w:val="22"/>
                <w:szCs w:val="22"/>
                <w:lang w:eastAsia="en-US"/>
              </w:rPr>
              <w:lastRenderedPageBreak/>
              <w:t>plānošanas pieeja ir risinājums izaicinājumiem, kas aprakstīti šajā apakšnodaļā.</w:t>
            </w:r>
          </w:p>
        </w:tc>
      </w:tr>
      <w:tr w:rsidR="00B367FF" w:rsidRPr="0069016B" w14:paraId="74182A18"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52BA6482" w14:textId="77777777" w:rsidR="00B367FF" w:rsidRDefault="00B367FF" w:rsidP="00AD25EB">
            <w:pPr>
              <w:pStyle w:val="naisc"/>
              <w:spacing w:before="0" w:after="0"/>
              <w:rPr>
                <w:color w:val="000000"/>
                <w:sz w:val="22"/>
                <w:szCs w:val="22"/>
              </w:rPr>
            </w:pPr>
            <w:r>
              <w:rPr>
                <w:color w:val="000000"/>
                <w:sz w:val="22"/>
                <w:szCs w:val="22"/>
              </w:rPr>
              <w:lastRenderedPageBreak/>
              <w:t>15.</w:t>
            </w:r>
          </w:p>
        </w:tc>
        <w:tc>
          <w:tcPr>
            <w:tcW w:w="2500" w:type="dxa"/>
            <w:tcBorders>
              <w:top w:val="single" w:sz="4" w:space="0" w:color="auto"/>
              <w:bottom w:val="single" w:sz="6" w:space="0" w:color="000000"/>
            </w:tcBorders>
          </w:tcPr>
          <w:p w14:paraId="53AEC025" w14:textId="77777777" w:rsidR="00B367FF" w:rsidRPr="0069016B" w:rsidRDefault="00B367FF"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720E1B03" w14:textId="77777777" w:rsidR="00B367FF" w:rsidRPr="00B367FF" w:rsidRDefault="00B367FF" w:rsidP="00AD25EB">
            <w:pPr>
              <w:pStyle w:val="naisc"/>
              <w:spacing w:before="0" w:after="0"/>
              <w:jc w:val="both"/>
              <w:rPr>
                <w:color w:val="000000"/>
                <w:sz w:val="22"/>
                <w:szCs w:val="22"/>
              </w:rPr>
            </w:pPr>
            <w:r w:rsidRPr="00B367FF">
              <w:rPr>
                <w:color w:val="000000"/>
                <w:sz w:val="22"/>
                <w:szCs w:val="22"/>
              </w:rPr>
              <w:t>8.</w:t>
            </w:r>
            <w:r w:rsidRPr="00B367FF">
              <w:rPr>
                <w:color w:val="000000"/>
                <w:sz w:val="22"/>
                <w:szCs w:val="22"/>
              </w:rPr>
              <w:tab/>
              <w:t>Saskaņā ar informatīvā ziņojuma projekta 3.4. apakšnodaļu VUGD līdz 2023. gada 30. novembrim nepieciešams izstrādāt jaunu likumprojektu par ugunsdrošību un ugunsdzēsību. Minētā risinājuma laika rāmis ir vizualizēts pielikumā, kas paredz 5 gadu pārejas periodu no esošās situācijas. Lūdzam precizēt informatīvā ziņojuma projekta pielikumā noteikto 5 gadu ilgo pārejas periodu, jo likumprojekta izstrāde ir paredzēta līdz 2023. gada 30. novembrim, t.i. 2 gadi, kā arī noteikt konkrētu likuma spēkā stāšanās laiku, attiecīgi precizējot arī informatīvā ziņojuma projekta pielikumā noteikto termiņu.</w:t>
            </w:r>
          </w:p>
        </w:tc>
        <w:tc>
          <w:tcPr>
            <w:tcW w:w="2061" w:type="dxa"/>
            <w:tcBorders>
              <w:top w:val="single" w:sz="6" w:space="0" w:color="000000"/>
              <w:left w:val="single" w:sz="6" w:space="0" w:color="000000"/>
              <w:bottom w:val="single" w:sz="6" w:space="0" w:color="000000"/>
              <w:right w:val="single" w:sz="6" w:space="0" w:color="000000"/>
            </w:tcBorders>
          </w:tcPr>
          <w:p w14:paraId="222F3E8C" w14:textId="77777777" w:rsidR="00B367FF" w:rsidRPr="00F635C2" w:rsidRDefault="00B367FF" w:rsidP="00AD25EB">
            <w:pPr>
              <w:pStyle w:val="naisc"/>
              <w:spacing w:before="0" w:after="0"/>
              <w:rPr>
                <w:b/>
                <w:color w:val="000000"/>
                <w:sz w:val="22"/>
                <w:szCs w:val="22"/>
              </w:rPr>
            </w:pPr>
            <w:r>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097F4F76" w14:textId="77777777" w:rsidR="00B367FF" w:rsidRPr="0069016B" w:rsidRDefault="00B41188" w:rsidP="00B41188">
            <w:pPr>
              <w:autoSpaceDE w:val="0"/>
              <w:autoSpaceDN w:val="0"/>
              <w:adjustRightInd w:val="0"/>
              <w:contextualSpacing/>
              <w:jc w:val="both"/>
              <w:rPr>
                <w:rFonts w:eastAsia="Calibri"/>
                <w:color w:val="000000"/>
                <w:sz w:val="22"/>
                <w:szCs w:val="22"/>
                <w:lang w:eastAsia="en-US"/>
              </w:rPr>
            </w:pPr>
            <w:r w:rsidRPr="00B41188">
              <w:rPr>
                <w:rFonts w:eastAsia="Calibri"/>
                <w:color w:val="000000"/>
                <w:sz w:val="22"/>
                <w:szCs w:val="22"/>
                <w:lang w:eastAsia="en-US"/>
              </w:rPr>
              <w:t>Precizēta Informatīvā ziņojuma 3.</w:t>
            </w:r>
            <w:r>
              <w:rPr>
                <w:rFonts w:eastAsia="Calibri"/>
                <w:color w:val="000000"/>
                <w:sz w:val="22"/>
                <w:szCs w:val="22"/>
                <w:lang w:eastAsia="en-US"/>
              </w:rPr>
              <w:t>4</w:t>
            </w:r>
            <w:r w:rsidRPr="00B41188">
              <w:rPr>
                <w:rFonts w:eastAsia="Calibri"/>
                <w:color w:val="000000"/>
                <w:sz w:val="22"/>
                <w:szCs w:val="22"/>
                <w:lang w:eastAsia="en-US"/>
              </w:rPr>
              <w:t>.apakšnodaļa</w:t>
            </w:r>
          </w:p>
        </w:tc>
      </w:tr>
      <w:tr w:rsidR="00B367FF" w:rsidRPr="0069016B" w14:paraId="4A7F9C36"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5E13DED1" w14:textId="77777777" w:rsidR="00B367FF" w:rsidRDefault="00B367FF" w:rsidP="00AD25EB">
            <w:pPr>
              <w:pStyle w:val="naisc"/>
              <w:spacing w:before="0" w:after="0"/>
              <w:rPr>
                <w:color w:val="000000"/>
                <w:sz w:val="22"/>
                <w:szCs w:val="22"/>
              </w:rPr>
            </w:pPr>
            <w:r>
              <w:rPr>
                <w:color w:val="000000"/>
                <w:sz w:val="22"/>
                <w:szCs w:val="22"/>
              </w:rPr>
              <w:t>16.</w:t>
            </w:r>
          </w:p>
        </w:tc>
        <w:tc>
          <w:tcPr>
            <w:tcW w:w="2500" w:type="dxa"/>
            <w:tcBorders>
              <w:top w:val="single" w:sz="4" w:space="0" w:color="auto"/>
              <w:bottom w:val="single" w:sz="6" w:space="0" w:color="000000"/>
            </w:tcBorders>
          </w:tcPr>
          <w:p w14:paraId="3B57DAC2" w14:textId="77777777" w:rsidR="00B367FF" w:rsidRPr="0069016B" w:rsidRDefault="00B367FF"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34700E5B" w14:textId="77777777" w:rsidR="00B367FF" w:rsidRPr="00B367FF" w:rsidRDefault="00B367FF" w:rsidP="00AD25EB">
            <w:pPr>
              <w:pStyle w:val="naisc"/>
              <w:spacing w:before="0" w:after="0"/>
              <w:jc w:val="both"/>
              <w:rPr>
                <w:color w:val="000000"/>
                <w:sz w:val="22"/>
                <w:szCs w:val="22"/>
              </w:rPr>
            </w:pPr>
            <w:r w:rsidRPr="00B367FF">
              <w:rPr>
                <w:color w:val="000000"/>
                <w:sz w:val="22"/>
                <w:szCs w:val="22"/>
              </w:rPr>
              <w:t>9.</w:t>
            </w:r>
            <w:r w:rsidRPr="00B367FF">
              <w:rPr>
                <w:color w:val="000000"/>
                <w:sz w:val="22"/>
                <w:szCs w:val="22"/>
              </w:rPr>
              <w:tab/>
              <w:t>Informatīvā ziņojuma projekta 4. nodaļa nosaka, ka informatīvajā ziņojumā piedāvātais risinājums neparedz finansiālo ietekmi uz valsts vai pašvaldību budžetu, jo tā īstenošanai nepieciešamie pasākumi vai nu jau ir atbalstīti Ministru kabinetā vai ir saistīti ar tiesību aktu izstrādi. Vēršam uzmanību uz to, ka informatīvā ziņojuma projekta pielikuma 7. punktā ietvertais pasākums paredz brīvprātīgo ugunsdzēsēju apmācību Ugunsdrošības un civilās aizsardzības koledžā un Profesionālās izglītības kompetences centrā "Saldus tehnikums" un apmācāmajiem tuvākajās VUGD struktūrvienībās</w:t>
            </w:r>
            <w:r w:rsidRPr="004F663E">
              <w:rPr>
                <w:color w:val="000000"/>
                <w:sz w:val="22"/>
                <w:szCs w:val="22"/>
              </w:rPr>
              <w:t xml:space="preserve">. Ievērojot minēto, lūdzam precizēt informatīvā ziņojuma projekta 4. nodaļu, nosakot, vai šiem </w:t>
            </w:r>
            <w:r w:rsidRPr="004F663E">
              <w:rPr>
                <w:color w:val="000000"/>
                <w:sz w:val="22"/>
                <w:szCs w:val="22"/>
              </w:rPr>
              <w:lastRenderedPageBreak/>
              <w:t>pasākumiem finansējums jau ir paredzēts, vai tikai tiks piešķirts un kādā termiņā.</w:t>
            </w:r>
          </w:p>
        </w:tc>
        <w:tc>
          <w:tcPr>
            <w:tcW w:w="2061" w:type="dxa"/>
            <w:tcBorders>
              <w:top w:val="single" w:sz="6" w:space="0" w:color="000000"/>
              <w:left w:val="single" w:sz="6" w:space="0" w:color="000000"/>
              <w:bottom w:val="single" w:sz="6" w:space="0" w:color="000000"/>
              <w:right w:val="single" w:sz="6" w:space="0" w:color="000000"/>
            </w:tcBorders>
          </w:tcPr>
          <w:p w14:paraId="49E396A5" w14:textId="2A0972F7" w:rsidR="00B367FF" w:rsidRPr="00F635C2" w:rsidRDefault="00C63119" w:rsidP="00EF7580">
            <w:pPr>
              <w:pStyle w:val="naisc"/>
              <w:spacing w:before="0" w:after="0"/>
              <w:rPr>
                <w:b/>
                <w:color w:val="000000"/>
                <w:sz w:val="22"/>
                <w:szCs w:val="22"/>
              </w:rPr>
            </w:pPr>
            <w:r w:rsidRPr="00C63119">
              <w:rPr>
                <w:b/>
                <w:color w:val="000000"/>
                <w:sz w:val="22"/>
                <w:szCs w:val="22"/>
              </w:rPr>
              <w:lastRenderedPageBreak/>
              <w:t>Ņ</w:t>
            </w:r>
            <w:r w:rsidR="00B367FF" w:rsidRPr="00C63119">
              <w:rPr>
                <w:b/>
                <w:color w:val="000000"/>
                <w:sz w:val="22"/>
                <w:szCs w:val="22"/>
              </w:rPr>
              <w:t>emts vērā</w:t>
            </w:r>
          </w:p>
        </w:tc>
        <w:tc>
          <w:tcPr>
            <w:tcW w:w="5361" w:type="dxa"/>
            <w:tcBorders>
              <w:top w:val="single" w:sz="4" w:space="0" w:color="auto"/>
              <w:left w:val="single" w:sz="4" w:space="0" w:color="auto"/>
              <w:bottom w:val="single" w:sz="4" w:space="0" w:color="auto"/>
              <w:right w:val="single" w:sz="4" w:space="0" w:color="auto"/>
            </w:tcBorders>
          </w:tcPr>
          <w:p w14:paraId="3B170CC3" w14:textId="77777777" w:rsidR="00E00BB7" w:rsidRDefault="00E00BB7" w:rsidP="00E00BB7">
            <w:pPr>
              <w:autoSpaceDE w:val="0"/>
              <w:autoSpaceDN w:val="0"/>
              <w:adjustRightInd w:val="0"/>
              <w:contextualSpacing/>
              <w:jc w:val="both"/>
              <w:rPr>
                <w:rFonts w:eastAsia="Calibri"/>
                <w:color w:val="000000"/>
                <w:sz w:val="22"/>
                <w:szCs w:val="22"/>
                <w:lang w:eastAsia="en-US"/>
              </w:rPr>
            </w:pPr>
            <w:r w:rsidRPr="00E00BB7">
              <w:rPr>
                <w:rFonts w:eastAsia="Calibri"/>
                <w:color w:val="000000"/>
                <w:sz w:val="22"/>
                <w:szCs w:val="22"/>
                <w:lang w:eastAsia="en-US"/>
              </w:rPr>
              <w:t>Precizēta Informatīvā ziņojuma 3.</w:t>
            </w:r>
            <w:r>
              <w:rPr>
                <w:rFonts w:eastAsia="Calibri"/>
                <w:color w:val="000000"/>
                <w:sz w:val="22"/>
                <w:szCs w:val="22"/>
                <w:lang w:eastAsia="en-US"/>
              </w:rPr>
              <w:t>2</w:t>
            </w:r>
            <w:r w:rsidRPr="00E00BB7">
              <w:rPr>
                <w:rFonts w:eastAsia="Calibri"/>
                <w:color w:val="000000"/>
                <w:sz w:val="22"/>
                <w:szCs w:val="22"/>
                <w:lang w:eastAsia="en-US"/>
              </w:rPr>
              <w:t xml:space="preserve">.apakšnodaļa </w:t>
            </w:r>
          </w:p>
          <w:p w14:paraId="7E515FFD" w14:textId="77777777" w:rsidR="00E00BB7" w:rsidRDefault="00E00BB7" w:rsidP="00E00BB7">
            <w:pPr>
              <w:autoSpaceDE w:val="0"/>
              <w:autoSpaceDN w:val="0"/>
              <w:adjustRightInd w:val="0"/>
              <w:contextualSpacing/>
              <w:jc w:val="both"/>
              <w:rPr>
                <w:rFonts w:eastAsia="Calibri"/>
                <w:color w:val="000000"/>
                <w:sz w:val="22"/>
                <w:szCs w:val="22"/>
                <w:lang w:eastAsia="en-US"/>
              </w:rPr>
            </w:pPr>
          </w:p>
          <w:p w14:paraId="12DC743C" w14:textId="5F553AB4" w:rsidR="00B367FF" w:rsidRDefault="00E00BB7" w:rsidP="00E00BB7">
            <w:pPr>
              <w:autoSpaceDE w:val="0"/>
              <w:autoSpaceDN w:val="0"/>
              <w:adjustRightInd w:val="0"/>
              <w:contextualSpacing/>
              <w:jc w:val="both"/>
              <w:rPr>
                <w:rFonts w:eastAsia="Calibri"/>
                <w:color w:val="000000"/>
                <w:sz w:val="22"/>
                <w:szCs w:val="22"/>
                <w:lang w:eastAsia="en-US"/>
              </w:rPr>
            </w:pPr>
            <w:r w:rsidRPr="00E00BB7">
              <w:rPr>
                <w:rFonts w:eastAsia="Calibri"/>
                <w:color w:val="000000"/>
                <w:sz w:val="22"/>
                <w:szCs w:val="22"/>
                <w:lang w:eastAsia="en-US"/>
              </w:rPr>
              <w:t>jau šobrīd abas minētas izglītības iestādes veic ugunsdzēsēju vai ugunsdzēsības un glābšanas dienesta ugunsdzēsēju glābēju mācību</w:t>
            </w:r>
            <w:r w:rsidR="007C0251">
              <w:rPr>
                <w:rFonts w:eastAsia="Calibri"/>
                <w:color w:val="000000"/>
                <w:sz w:val="22"/>
                <w:szCs w:val="22"/>
                <w:lang w:eastAsia="en-US"/>
              </w:rPr>
              <w:t>.</w:t>
            </w:r>
          </w:p>
          <w:p w14:paraId="12D3D065" w14:textId="77777777" w:rsidR="005859F3" w:rsidRDefault="005859F3" w:rsidP="005859F3">
            <w:pPr>
              <w:autoSpaceDE w:val="0"/>
              <w:autoSpaceDN w:val="0"/>
              <w:adjustRightInd w:val="0"/>
              <w:contextualSpacing/>
              <w:jc w:val="both"/>
              <w:rPr>
                <w:rFonts w:eastAsia="Calibri"/>
                <w:color w:val="000000"/>
                <w:sz w:val="22"/>
                <w:szCs w:val="22"/>
                <w:lang w:eastAsia="en-US"/>
              </w:rPr>
            </w:pPr>
          </w:p>
          <w:p w14:paraId="473EACFF" w14:textId="3EA6ED39" w:rsidR="00E00BB7" w:rsidRPr="0069016B" w:rsidRDefault="00EF7580" w:rsidP="00146DF7">
            <w:pPr>
              <w:autoSpaceDE w:val="0"/>
              <w:autoSpaceDN w:val="0"/>
              <w:adjustRightInd w:val="0"/>
              <w:contextualSpacing/>
              <w:jc w:val="both"/>
              <w:rPr>
                <w:rFonts w:eastAsia="Calibri"/>
                <w:color w:val="000000"/>
                <w:sz w:val="22"/>
                <w:szCs w:val="22"/>
                <w:lang w:eastAsia="en-US"/>
              </w:rPr>
            </w:pPr>
            <w:r w:rsidRPr="00A07600">
              <w:rPr>
                <w:rFonts w:eastAsia="Calibri"/>
                <w:sz w:val="22"/>
                <w:szCs w:val="22"/>
                <w:lang w:eastAsia="en-US"/>
              </w:rPr>
              <w:t xml:space="preserve">Ņemot vērā to, ka </w:t>
            </w:r>
            <w:r w:rsidR="00146DF7" w:rsidRPr="00A07600">
              <w:rPr>
                <w:rFonts w:eastAsia="Calibri"/>
                <w:sz w:val="22"/>
                <w:szCs w:val="22"/>
                <w:lang w:eastAsia="en-US"/>
              </w:rPr>
              <w:t xml:space="preserve">tika precizēta Informatīvā ziņojuma 3.2.apakšnodaļa un to, ka </w:t>
            </w:r>
            <w:r w:rsidRPr="00A07600">
              <w:rPr>
                <w:rFonts w:eastAsia="Calibri"/>
                <w:sz w:val="22"/>
                <w:szCs w:val="22"/>
                <w:lang w:eastAsia="en-US"/>
              </w:rPr>
              <w:t>šobrīd papildu finansējums brīvprātīgo ugunsdzēsēju organizāciju darbinieku mācīb</w:t>
            </w:r>
            <w:r w:rsidR="007C0251" w:rsidRPr="00A07600">
              <w:rPr>
                <w:rFonts w:eastAsia="Calibri"/>
                <w:sz w:val="22"/>
                <w:szCs w:val="22"/>
                <w:lang w:eastAsia="en-US"/>
              </w:rPr>
              <w:t>ām</w:t>
            </w:r>
            <w:r w:rsidRPr="00A07600">
              <w:rPr>
                <w:rFonts w:eastAsia="Calibri"/>
                <w:sz w:val="22"/>
                <w:szCs w:val="22"/>
                <w:lang w:eastAsia="en-US"/>
              </w:rPr>
              <w:t xml:space="preserve"> netiek </w:t>
            </w:r>
            <w:r w:rsidR="005859F3" w:rsidRPr="00A07600">
              <w:rPr>
                <w:rFonts w:eastAsia="Calibri"/>
                <w:sz w:val="22"/>
                <w:szCs w:val="22"/>
                <w:lang w:eastAsia="en-US"/>
              </w:rPr>
              <w:t xml:space="preserve">plānots </w:t>
            </w:r>
            <w:r w:rsidRPr="00A07600">
              <w:rPr>
                <w:rFonts w:eastAsia="Calibri"/>
                <w:sz w:val="22"/>
                <w:szCs w:val="22"/>
                <w:lang w:eastAsia="en-US"/>
              </w:rPr>
              <w:t xml:space="preserve">paredzēt, </w:t>
            </w:r>
            <w:r w:rsidR="005859F3" w:rsidRPr="00A07600">
              <w:rPr>
                <w:sz w:val="22"/>
                <w:szCs w:val="22"/>
              </w:rPr>
              <w:t>informatīvā ziņojuma projekta 4. nodaļ</w:t>
            </w:r>
            <w:r w:rsidR="00C63119" w:rsidRPr="00A07600">
              <w:rPr>
                <w:sz w:val="22"/>
                <w:szCs w:val="22"/>
              </w:rPr>
              <w:t>u</w:t>
            </w:r>
            <w:r w:rsidR="005859F3" w:rsidRPr="00A07600">
              <w:rPr>
                <w:sz w:val="22"/>
                <w:szCs w:val="22"/>
              </w:rPr>
              <w:t xml:space="preserve"> </w:t>
            </w:r>
            <w:r w:rsidR="00C63119" w:rsidRPr="00A07600">
              <w:rPr>
                <w:sz w:val="22"/>
                <w:szCs w:val="22"/>
              </w:rPr>
              <w:t>nav nepieciešams precizēt</w:t>
            </w:r>
            <w:r w:rsidR="005859F3" w:rsidRPr="00A07600">
              <w:rPr>
                <w:sz w:val="22"/>
                <w:szCs w:val="22"/>
              </w:rPr>
              <w:t>.</w:t>
            </w:r>
          </w:p>
        </w:tc>
      </w:tr>
      <w:tr w:rsidR="00B367FF" w:rsidRPr="0069016B" w14:paraId="3ED28099"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1C989AD6" w14:textId="77777777" w:rsidR="00B367FF" w:rsidRDefault="00B367FF" w:rsidP="00AD25EB">
            <w:pPr>
              <w:pStyle w:val="naisc"/>
              <w:spacing w:before="0" w:after="0"/>
              <w:rPr>
                <w:color w:val="000000"/>
                <w:sz w:val="22"/>
                <w:szCs w:val="22"/>
              </w:rPr>
            </w:pPr>
            <w:r>
              <w:rPr>
                <w:color w:val="000000"/>
                <w:sz w:val="22"/>
                <w:szCs w:val="22"/>
              </w:rPr>
              <w:t>17.</w:t>
            </w:r>
          </w:p>
        </w:tc>
        <w:tc>
          <w:tcPr>
            <w:tcW w:w="2500" w:type="dxa"/>
            <w:tcBorders>
              <w:top w:val="single" w:sz="4" w:space="0" w:color="auto"/>
              <w:bottom w:val="single" w:sz="6" w:space="0" w:color="000000"/>
            </w:tcBorders>
          </w:tcPr>
          <w:p w14:paraId="2578C7B4" w14:textId="77777777" w:rsidR="00B367FF" w:rsidRPr="0069016B" w:rsidRDefault="00B367FF"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25921491" w14:textId="77777777" w:rsidR="00B367FF" w:rsidRPr="00B367FF" w:rsidRDefault="00B367FF" w:rsidP="00AD25EB">
            <w:pPr>
              <w:pStyle w:val="naisc"/>
              <w:spacing w:before="0" w:after="0"/>
              <w:jc w:val="both"/>
              <w:rPr>
                <w:color w:val="000000"/>
                <w:sz w:val="22"/>
                <w:szCs w:val="22"/>
              </w:rPr>
            </w:pPr>
            <w:r w:rsidRPr="00B367FF">
              <w:rPr>
                <w:color w:val="000000"/>
                <w:sz w:val="22"/>
                <w:szCs w:val="22"/>
              </w:rPr>
              <w:t>10.</w:t>
            </w:r>
            <w:r w:rsidRPr="00B367FF">
              <w:rPr>
                <w:color w:val="000000"/>
                <w:sz w:val="22"/>
                <w:szCs w:val="22"/>
              </w:rPr>
              <w:tab/>
              <w:t>Lūdzam precizēt informatīvā ziņojuma projektu, saskaņojot to ar pielikumu (piemēram, informatīvā ziņojuma projektā un pielikumā ir atšķirīgi likumprojekta izstrādes termiņi) un, nosakot konkrētus uzdevumus, to izpildes termiņus, kā arī atbildīgo un līdzatbildīgo (piemēram, pašvaldības, sociālie partneri) institūciju.</w:t>
            </w:r>
          </w:p>
        </w:tc>
        <w:tc>
          <w:tcPr>
            <w:tcW w:w="2061" w:type="dxa"/>
            <w:tcBorders>
              <w:top w:val="single" w:sz="6" w:space="0" w:color="000000"/>
              <w:left w:val="single" w:sz="6" w:space="0" w:color="000000"/>
              <w:bottom w:val="single" w:sz="6" w:space="0" w:color="000000"/>
              <w:right w:val="single" w:sz="6" w:space="0" w:color="000000"/>
            </w:tcBorders>
          </w:tcPr>
          <w:p w14:paraId="702BBFC9" w14:textId="77777777" w:rsidR="00B367FF" w:rsidRPr="00F635C2" w:rsidRDefault="00B367FF" w:rsidP="00AD25EB">
            <w:pPr>
              <w:pStyle w:val="naisc"/>
              <w:spacing w:before="0" w:after="0"/>
              <w:rPr>
                <w:b/>
                <w:color w:val="000000"/>
                <w:sz w:val="22"/>
                <w:szCs w:val="22"/>
              </w:rPr>
            </w:pPr>
            <w:r>
              <w:rPr>
                <w:b/>
                <w:color w:val="000000"/>
                <w:sz w:val="22"/>
                <w:szCs w:val="22"/>
              </w:rPr>
              <w:t>Ņemts vērā</w:t>
            </w:r>
          </w:p>
        </w:tc>
        <w:tc>
          <w:tcPr>
            <w:tcW w:w="5361" w:type="dxa"/>
            <w:tcBorders>
              <w:top w:val="single" w:sz="4" w:space="0" w:color="auto"/>
              <w:left w:val="single" w:sz="4" w:space="0" w:color="auto"/>
              <w:bottom w:val="single" w:sz="4" w:space="0" w:color="auto"/>
              <w:right w:val="single" w:sz="4" w:space="0" w:color="auto"/>
            </w:tcBorders>
          </w:tcPr>
          <w:p w14:paraId="59697C4D" w14:textId="77777777" w:rsidR="00B367FF" w:rsidRPr="0069016B" w:rsidRDefault="00E00BB7" w:rsidP="00E00BB7">
            <w:pPr>
              <w:autoSpaceDE w:val="0"/>
              <w:autoSpaceDN w:val="0"/>
              <w:adjustRightInd w:val="0"/>
              <w:contextualSpacing/>
              <w:jc w:val="both"/>
              <w:rPr>
                <w:rFonts w:eastAsia="Calibri"/>
                <w:color w:val="000000"/>
                <w:sz w:val="22"/>
                <w:szCs w:val="22"/>
                <w:lang w:eastAsia="en-US"/>
              </w:rPr>
            </w:pPr>
            <w:r w:rsidRPr="00E00BB7">
              <w:rPr>
                <w:rFonts w:eastAsia="Calibri"/>
                <w:color w:val="000000"/>
                <w:sz w:val="22"/>
                <w:szCs w:val="22"/>
                <w:lang w:eastAsia="en-US"/>
              </w:rPr>
              <w:t xml:space="preserve">Precizēta informatīvā ziņojuma </w:t>
            </w:r>
            <w:r>
              <w:rPr>
                <w:rFonts w:eastAsia="Calibri"/>
                <w:color w:val="000000"/>
                <w:sz w:val="22"/>
                <w:szCs w:val="22"/>
                <w:lang w:eastAsia="en-US"/>
              </w:rPr>
              <w:t>projekts un tas sasaistīts</w:t>
            </w:r>
            <w:r w:rsidRPr="00E00BB7">
              <w:rPr>
                <w:rFonts w:eastAsia="Calibri"/>
                <w:color w:val="000000"/>
                <w:sz w:val="22"/>
                <w:szCs w:val="22"/>
                <w:lang w:eastAsia="en-US"/>
              </w:rPr>
              <w:t xml:space="preserve"> ar pielikuma redakciju</w:t>
            </w:r>
          </w:p>
        </w:tc>
      </w:tr>
      <w:tr w:rsidR="00C87EFE" w:rsidRPr="0069016B" w14:paraId="2096BE96" w14:textId="77777777" w:rsidTr="00B45BCC">
        <w:trPr>
          <w:gridBefore w:val="1"/>
          <w:gridAfter w:val="1"/>
          <w:wBefore w:w="51" w:type="dxa"/>
          <w:wAfter w:w="516" w:type="dxa"/>
        </w:trPr>
        <w:tc>
          <w:tcPr>
            <w:tcW w:w="14425" w:type="dxa"/>
            <w:gridSpan w:val="6"/>
            <w:tcBorders>
              <w:top w:val="single" w:sz="6" w:space="0" w:color="000000"/>
              <w:left w:val="single" w:sz="6" w:space="0" w:color="000000"/>
              <w:bottom w:val="single" w:sz="6" w:space="0" w:color="000000"/>
              <w:right w:val="single" w:sz="4" w:space="0" w:color="auto"/>
            </w:tcBorders>
          </w:tcPr>
          <w:p w14:paraId="2EDE48AC" w14:textId="6AC09C8E" w:rsidR="00C87EFE" w:rsidRPr="00C87EFE" w:rsidRDefault="00C87EFE" w:rsidP="00C87EFE">
            <w:pPr>
              <w:autoSpaceDE w:val="0"/>
              <w:autoSpaceDN w:val="0"/>
              <w:adjustRightInd w:val="0"/>
              <w:contextualSpacing/>
              <w:jc w:val="center"/>
              <w:rPr>
                <w:rFonts w:eastAsia="Calibri"/>
                <w:b/>
                <w:color w:val="000000"/>
                <w:sz w:val="22"/>
                <w:szCs w:val="22"/>
                <w:lang w:eastAsia="en-US"/>
              </w:rPr>
            </w:pPr>
            <w:r w:rsidRPr="00C87EFE">
              <w:rPr>
                <w:rFonts w:eastAsia="Calibri"/>
                <w:b/>
                <w:color w:val="000000"/>
                <w:sz w:val="22"/>
                <w:szCs w:val="22"/>
                <w:lang w:eastAsia="en-US"/>
              </w:rPr>
              <w:t>Vides aizsardzības un reģionālās attīstības ministrija</w:t>
            </w:r>
          </w:p>
        </w:tc>
      </w:tr>
      <w:tr w:rsidR="00C87EFE" w:rsidRPr="0069016B" w14:paraId="2CD0F51A" w14:textId="77777777" w:rsidTr="00BC08A1">
        <w:trPr>
          <w:gridBefore w:val="1"/>
          <w:gridAfter w:val="1"/>
          <w:wBefore w:w="51" w:type="dxa"/>
          <w:wAfter w:w="516" w:type="dxa"/>
        </w:trPr>
        <w:tc>
          <w:tcPr>
            <w:tcW w:w="534" w:type="dxa"/>
            <w:tcBorders>
              <w:top w:val="single" w:sz="6" w:space="0" w:color="000000"/>
              <w:left w:val="single" w:sz="6" w:space="0" w:color="000000"/>
              <w:bottom w:val="single" w:sz="6" w:space="0" w:color="000000"/>
              <w:right w:val="single" w:sz="6" w:space="0" w:color="000000"/>
            </w:tcBorders>
          </w:tcPr>
          <w:p w14:paraId="13E57446" w14:textId="7A42EB8B" w:rsidR="00C87EFE" w:rsidRDefault="00C87EFE" w:rsidP="00AD25EB">
            <w:pPr>
              <w:pStyle w:val="naisc"/>
              <w:spacing w:before="0" w:after="0"/>
              <w:rPr>
                <w:color w:val="000000"/>
                <w:sz w:val="22"/>
                <w:szCs w:val="22"/>
              </w:rPr>
            </w:pPr>
            <w:r>
              <w:rPr>
                <w:color w:val="000000"/>
                <w:sz w:val="22"/>
                <w:szCs w:val="22"/>
              </w:rPr>
              <w:t>18.</w:t>
            </w:r>
          </w:p>
        </w:tc>
        <w:tc>
          <w:tcPr>
            <w:tcW w:w="2500" w:type="dxa"/>
            <w:tcBorders>
              <w:top w:val="single" w:sz="4" w:space="0" w:color="auto"/>
              <w:bottom w:val="single" w:sz="6" w:space="0" w:color="000000"/>
            </w:tcBorders>
          </w:tcPr>
          <w:p w14:paraId="64AA6936" w14:textId="2BBEE7B4" w:rsidR="00C87EFE" w:rsidRPr="0069016B" w:rsidRDefault="00C87EFE" w:rsidP="00AD25EB">
            <w:pPr>
              <w:jc w:val="both"/>
              <w:rPr>
                <w:color w:val="000000"/>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tcPr>
          <w:p w14:paraId="789316E7" w14:textId="55CBBDC7" w:rsidR="00C87EFE" w:rsidRPr="00B367FF" w:rsidRDefault="00C87EFE" w:rsidP="00AD25EB">
            <w:pPr>
              <w:pStyle w:val="naisc"/>
              <w:spacing w:before="0" w:after="0"/>
              <w:jc w:val="both"/>
              <w:rPr>
                <w:color w:val="000000"/>
                <w:sz w:val="22"/>
                <w:szCs w:val="22"/>
              </w:rPr>
            </w:pPr>
            <w:r w:rsidRPr="00C87EFE">
              <w:rPr>
                <w:color w:val="000000"/>
                <w:sz w:val="22"/>
                <w:szCs w:val="22"/>
              </w:rPr>
              <w:t>Lai neradītu šķēršļus un veicinātu brīvprātīgo ugunsdzēsēju iesaisti, aicinām brīvprātīgo ugunsdzēsēju apmācības nepiesaistīt konkrētām mācību iestādēm, bet apmācības organizēt sadarbībā ar pašvaldībām, apmācību procesu koordinējot saziņā ar pašvaldības civilās aizsardzības institūciju. Turklāt ziņojumā paredzētās apmācības nevar tikt paredzētas kā obligāts priekšnoteikums brīvprātīgā ugunsdzēsēja darbam, un būtu jādod iespēja apgūt apmācības jebkuram interesentam.</w:t>
            </w:r>
          </w:p>
        </w:tc>
        <w:tc>
          <w:tcPr>
            <w:tcW w:w="2061" w:type="dxa"/>
            <w:tcBorders>
              <w:top w:val="single" w:sz="6" w:space="0" w:color="000000"/>
              <w:left w:val="single" w:sz="6" w:space="0" w:color="000000"/>
              <w:bottom w:val="single" w:sz="6" w:space="0" w:color="000000"/>
              <w:right w:val="single" w:sz="6" w:space="0" w:color="000000"/>
            </w:tcBorders>
          </w:tcPr>
          <w:p w14:paraId="3DE29766" w14:textId="1435BEA4" w:rsidR="00C87EFE" w:rsidRDefault="006B320F" w:rsidP="00AD25EB">
            <w:pPr>
              <w:pStyle w:val="naisc"/>
              <w:spacing w:before="0" w:after="0"/>
              <w:rPr>
                <w:b/>
                <w:color w:val="000000"/>
                <w:sz w:val="22"/>
                <w:szCs w:val="22"/>
              </w:rPr>
            </w:pPr>
            <w:r>
              <w:rPr>
                <w:b/>
                <w:color w:val="000000"/>
                <w:sz w:val="22"/>
                <w:szCs w:val="22"/>
              </w:rPr>
              <w:t>Ņemts vērā daļēji</w:t>
            </w:r>
          </w:p>
        </w:tc>
        <w:tc>
          <w:tcPr>
            <w:tcW w:w="5361" w:type="dxa"/>
            <w:tcBorders>
              <w:top w:val="single" w:sz="4" w:space="0" w:color="auto"/>
              <w:left w:val="single" w:sz="4" w:space="0" w:color="auto"/>
              <w:bottom w:val="single" w:sz="4" w:space="0" w:color="auto"/>
              <w:right w:val="single" w:sz="4" w:space="0" w:color="auto"/>
            </w:tcBorders>
          </w:tcPr>
          <w:p w14:paraId="0FA14678" w14:textId="77777777" w:rsidR="00C87EFE" w:rsidRDefault="00D54101" w:rsidP="00E00BB7">
            <w:pPr>
              <w:autoSpaceDE w:val="0"/>
              <w:autoSpaceDN w:val="0"/>
              <w:adjustRightInd w:val="0"/>
              <w:contextualSpacing/>
              <w:jc w:val="both"/>
              <w:rPr>
                <w:rFonts w:eastAsia="Calibri"/>
                <w:color w:val="000000"/>
                <w:sz w:val="22"/>
                <w:szCs w:val="22"/>
                <w:lang w:eastAsia="en-US"/>
              </w:rPr>
            </w:pPr>
            <w:r>
              <w:rPr>
                <w:rFonts w:eastAsia="Calibri"/>
                <w:color w:val="000000"/>
                <w:sz w:val="22"/>
                <w:szCs w:val="22"/>
                <w:lang w:eastAsia="en-US"/>
              </w:rPr>
              <w:t>Precizēta 3.2.apakšnodaļas trešās rindkopas pēdējais teikums:</w:t>
            </w:r>
          </w:p>
          <w:p w14:paraId="0330B72D" w14:textId="2BA10384" w:rsidR="00D54101" w:rsidRPr="00CB43EB" w:rsidRDefault="00D54101" w:rsidP="00D54101">
            <w:pPr>
              <w:spacing w:line="259" w:lineRule="auto"/>
              <w:jc w:val="both"/>
              <w:rPr>
                <w:rFonts w:eastAsiaTheme="minorHAnsi"/>
                <w:bCs/>
                <w:sz w:val="22"/>
                <w:szCs w:val="22"/>
                <w:lang w:eastAsia="en-US"/>
              </w:rPr>
            </w:pPr>
            <w:r>
              <w:rPr>
                <w:rFonts w:eastAsiaTheme="minorHAnsi"/>
                <w:bCs/>
                <w:sz w:val="22"/>
                <w:szCs w:val="22"/>
                <w:lang w:eastAsia="en-US"/>
              </w:rPr>
              <w:t>“</w:t>
            </w:r>
            <w:r w:rsidRPr="00D54101">
              <w:rPr>
                <w:rFonts w:eastAsiaTheme="minorHAnsi"/>
                <w:bCs/>
                <w:sz w:val="22"/>
                <w:szCs w:val="22"/>
                <w:lang w:eastAsia="en-US"/>
              </w:rPr>
              <w:t>Mācību veiktu UCAK un Profesionālās izglītības kompetences centrā “Saldus tehnikums” (</w:t>
            </w:r>
            <w:r w:rsidRPr="00D54101">
              <w:rPr>
                <w:rFonts w:eastAsiaTheme="minorHAnsi"/>
                <w:bCs/>
                <w:i/>
                <w:sz w:val="22"/>
                <w:szCs w:val="22"/>
                <w:lang w:eastAsia="en-US"/>
              </w:rPr>
              <w:t>jau šobrīd abas minētas izglītības iestādes veic ugunsdzēsēju vai ugunsdzēsības un glābšanas dienesta ugunsdzēsēju glābēju mācību</w:t>
            </w:r>
            <w:r w:rsidRPr="00CB43EB">
              <w:rPr>
                <w:rFonts w:eastAsiaTheme="minorHAnsi"/>
                <w:bCs/>
                <w:sz w:val="22"/>
                <w:szCs w:val="22"/>
                <w:lang w:eastAsia="en-US"/>
              </w:rPr>
              <w:t>), kā arī citās izglītības iestādēs, ja tās izpilda Izglītības likuma 23. un 24.pantā noteiktos nosacījumus. Teorētisko mācību veiktu arī izmantojot e-apmācības platformas, bet praktiskās nodarbības tiktu organizētas tuvākajās VUGD struktūrvienībās, vai minētajās izglītības iestādēs.”</w:t>
            </w:r>
          </w:p>
          <w:p w14:paraId="6C2C8815" w14:textId="77777777" w:rsidR="00D54101" w:rsidRDefault="00D54101" w:rsidP="00D54101">
            <w:pPr>
              <w:spacing w:line="259" w:lineRule="auto"/>
              <w:jc w:val="both"/>
              <w:rPr>
                <w:rFonts w:eastAsiaTheme="minorHAnsi"/>
                <w:bCs/>
                <w:sz w:val="22"/>
                <w:szCs w:val="22"/>
                <w:lang w:eastAsia="en-US"/>
              </w:rPr>
            </w:pPr>
          </w:p>
          <w:p w14:paraId="2BD8FDBF" w14:textId="0D6952D1" w:rsidR="00D54101" w:rsidRPr="00CB43EB" w:rsidRDefault="00D54101" w:rsidP="00D54101">
            <w:pPr>
              <w:spacing w:line="259" w:lineRule="auto"/>
              <w:jc w:val="both"/>
              <w:rPr>
                <w:rFonts w:eastAsiaTheme="minorHAnsi"/>
                <w:bCs/>
                <w:sz w:val="22"/>
                <w:szCs w:val="22"/>
                <w:lang w:eastAsia="en-US"/>
              </w:rPr>
            </w:pPr>
            <w:r w:rsidRPr="00CB43EB">
              <w:rPr>
                <w:rFonts w:eastAsiaTheme="minorHAnsi"/>
                <w:bCs/>
                <w:sz w:val="22"/>
                <w:szCs w:val="22"/>
                <w:lang w:eastAsia="en-US"/>
              </w:rPr>
              <w:t xml:space="preserve">Vienlaikus informējam, ka saskaņā ar Izglītības likumu izglītības iestāde ir valsts, pašvaldību, valsts augstskolu vai citu juridisko vai fizisko personu dibināta iestāde, kuras uzdevums ir izglītības programmu īstenošana, vai komercsabiedrība, kuram izglītības programmu īstenošana ir viens no darbības veidiem. </w:t>
            </w:r>
          </w:p>
          <w:p w14:paraId="00AC4621" w14:textId="77777777" w:rsidR="00D54101" w:rsidRPr="00CB43EB" w:rsidRDefault="00D54101" w:rsidP="00D54101">
            <w:pPr>
              <w:spacing w:line="259" w:lineRule="auto"/>
              <w:jc w:val="both"/>
              <w:rPr>
                <w:rFonts w:eastAsiaTheme="minorHAnsi"/>
                <w:bCs/>
                <w:sz w:val="22"/>
                <w:szCs w:val="22"/>
                <w:lang w:eastAsia="en-US"/>
              </w:rPr>
            </w:pPr>
            <w:r w:rsidRPr="00CB43EB">
              <w:rPr>
                <w:rFonts w:eastAsiaTheme="minorHAnsi"/>
                <w:bCs/>
                <w:sz w:val="22"/>
                <w:szCs w:val="22"/>
                <w:lang w:eastAsia="en-US"/>
              </w:rPr>
              <w:t xml:space="preserve">Izglītības iestāde jāreģistrē, lai iegūtu tiesības īstenot profesionālās pilnveides un tālākizglītības (t.sk. citas profesionālās izglītības) programmas. Izglītības iestāžu </w:t>
            </w:r>
            <w:r w:rsidRPr="00CB43EB">
              <w:rPr>
                <w:rFonts w:eastAsiaTheme="minorHAnsi"/>
                <w:bCs/>
                <w:sz w:val="22"/>
                <w:szCs w:val="22"/>
                <w:lang w:eastAsia="en-US"/>
              </w:rPr>
              <w:lastRenderedPageBreak/>
              <w:t xml:space="preserve">reģistrāciju nosaka Izglītības likuma 23. un 24.pants; Ministru kabineta 2015.gada 14.jūlija noteikumi Nr.397 “Izglītības iestāžu un citu Izglītības likumā noteikto institūciju reģistrācijas kārtība”. </w:t>
            </w:r>
          </w:p>
          <w:p w14:paraId="020D35DA" w14:textId="77777777" w:rsidR="00D54101" w:rsidRPr="00CB43EB" w:rsidRDefault="00D54101" w:rsidP="00D54101">
            <w:pPr>
              <w:spacing w:line="259" w:lineRule="auto"/>
              <w:jc w:val="both"/>
              <w:rPr>
                <w:rFonts w:eastAsiaTheme="minorHAnsi"/>
                <w:bCs/>
                <w:sz w:val="22"/>
                <w:szCs w:val="22"/>
                <w:lang w:eastAsia="en-US"/>
              </w:rPr>
            </w:pPr>
            <w:r w:rsidRPr="00CB43EB">
              <w:rPr>
                <w:rFonts w:eastAsiaTheme="minorHAnsi"/>
                <w:bCs/>
                <w:sz w:val="22"/>
                <w:szCs w:val="22"/>
                <w:lang w:eastAsia="en-US"/>
              </w:rPr>
              <w:t xml:space="preserve">Profesionālās izglītības programma ir profesionālo izglītību reglamentējošs dokuments, kas atbilst attiecīgās izglītības pakāpes valsts profesionālās izglītības standartam un profesijas standartam vai profesionālās kvalifikācijas prasībām. </w:t>
            </w:r>
          </w:p>
          <w:p w14:paraId="1FDB86BA" w14:textId="77777777" w:rsidR="00D54101" w:rsidRPr="00CB43EB" w:rsidRDefault="00D54101" w:rsidP="00D54101">
            <w:pPr>
              <w:spacing w:line="259" w:lineRule="auto"/>
              <w:jc w:val="both"/>
              <w:rPr>
                <w:rFonts w:eastAsiaTheme="minorHAnsi"/>
                <w:bCs/>
                <w:sz w:val="22"/>
                <w:szCs w:val="22"/>
                <w:lang w:eastAsia="en-US"/>
              </w:rPr>
            </w:pPr>
            <w:r w:rsidRPr="00CB43EB">
              <w:rPr>
                <w:rFonts w:eastAsiaTheme="minorHAnsi"/>
                <w:bCs/>
                <w:sz w:val="22"/>
                <w:szCs w:val="22"/>
                <w:lang w:eastAsia="en-US"/>
              </w:rPr>
              <w:t xml:space="preserve">Lai uzsāktu profesionālās izglītības programmas īstenošanu, nepieciešams to izstrādāt atbilstoši prasībām un licencēt. Profesionālās pilnveides programma jāsaskaņo ar izglītības iestādes dibinātāju un papildus profesionālās izglītības programmas ugunsdrošībā, ugunsdzēsībā un civilajā aizsardzībā jāsaskaņo ar Valsts ugunsdzēsības un glābšanas dienestu. </w:t>
            </w:r>
          </w:p>
          <w:p w14:paraId="38D70B15" w14:textId="1C9AD21A" w:rsidR="00D54101" w:rsidRPr="00D54101" w:rsidRDefault="00D54101" w:rsidP="00D54101">
            <w:pPr>
              <w:spacing w:line="259" w:lineRule="auto"/>
              <w:jc w:val="both"/>
              <w:rPr>
                <w:rFonts w:eastAsiaTheme="minorHAnsi"/>
                <w:bCs/>
                <w:sz w:val="22"/>
                <w:szCs w:val="22"/>
                <w:lang w:eastAsia="en-US"/>
              </w:rPr>
            </w:pPr>
            <w:r w:rsidRPr="00CB43EB">
              <w:rPr>
                <w:rFonts w:eastAsiaTheme="minorHAnsi"/>
                <w:bCs/>
                <w:sz w:val="22"/>
                <w:szCs w:val="22"/>
                <w:lang w:eastAsia="en-US"/>
              </w:rPr>
              <w:t>Lai varētu izsniegt valsts atzītu profesionālās kvalifikācijas dokumentu, kā arī profesionālās pilnveides izglītību apliecinošu dokumentu, nepieciešams izglītības iestādi un izglītības programmu akreditēt atbilstoši Ministru kabineta 2020.gada 6.oktobra noteikumiem Nr.618 “Izglītības iestāžu, eksaminācijas centru, citu Izglītības likumā noteiktu institūciju un izglītības programmu akreditācijas un izglītības iestāžu vadītāju profesionālās darbības novērtēšanas kārtība”.</w:t>
            </w:r>
          </w:p>
        </w:tc>
      </w:tr>
      <w:tr w:rsidR="00063766" w:rsidRPr="0069016B" w14:paraId="43DABA2A" w14:textId="77777777" w:rsidTr="00AD25EB">
        <w:tblPrEx>
          <w:tblBorders>
            <w:top w:val="none" w:sz="0" w:space="0" w:color="auto"/>
            <w:left w:val="none" w:sz="0" w:space="0" w:color="auto"/>
            <w:bottom w:val="none" w:sz="0" w:space="0" w:color="auto"/>
            <w:right w:val="none" w:sz="0" w:space="0" w:color="auto"/>
          </w:tblBorders>
        </w:tblPrEx>
        <w:tc>
          <w:tcPr>
            <w:tcW w:w="5017" w:type="dxa"/>
            <w:gridSpan w:val="4"/>
          </w:tcPr>
          <w:p w14:paraId="2C9C3344" w14:textId="3919107B" w:rsidR="00063766" w:rsidRPr="0069016B" w:rsidRDefault="00063766" w:rsidP="00AD25EB">
            <w:pPr>
              <w:pStyle w:val="naiskr"/>
              <w:spacing w:before="0" w:after="0"/>
              <w:rPr>
                <w:color w:val="000000"/>
              </w:rPr>
            </w:pPr>
          </w:p>
          <w:p w14:paraId="7F678EB1" w14:textId="77777777" w:rsidR="00063766" w:rsidRPr="0069016B" w:rsidRDefault="00063766" w:rsidP="00AD25EB">
            <w:pPr>
              <w:pStyle w:val="naiskr"/>
              <w:spacing w:before="0" w:after="0"/>
              <w:rPr>
                <w:color w:val="000000"/>
              </w:rPr>
            </w:pPr>
            <w:r w:rsidRPr="0069016B">
              <w:rPr>
                <w:color w:val="000000"/>
              </w:rPr>
              <w:t>Atbildīgā amatpersona</w:t>
            </w:r>
          </w:p>
        </w:tc>
        <w:tc>
          <w:tcPr>
            <w:tcW w:w="9975" w:type="dxa"/>
            <w:gridSpan w:val="4"/>
          </w:tcPr>
          <w:p w14:paraId="42DA1815" w14:textId="77777777" w:rsidR="00063766" w:rsidRPr="0069016B" w:rsidRDefault="00063766" w:rsidP="00AD25EB">
            <w:pPr>
              <w:pStyle w:val="naiskr"/>
              <w:spacing w:before="0" w:after="0"/>
              <w:ind w:firstLine="720"/>
              <w:rPr>
                <w:color w:val="000000"/>
              </w:rPr>
            </w:pPr>
            <w:r w:rsidRPr="0069016B">
              <w:rPr>
                <w:color w:val="000000"/>
              </w:rPr>
              <w:t>  </w:t>
            </w:r>
          </w:p>
        </w:tc>
      </w:tr>
      <w:tr w:rsidR="00063766" w:rsidRPr="0069016B" w14:paraId="576BD83E" w14:textId="77777777" w:rsidTr="00AD25EB">
        <w:tblPrEx>
          <w:tblBorders>
            <w:top w:val="none" w:sz="0" w:space="0" w:color="auto"/>
            <w:left w:val="none" w:sz="0" w:space="0" w:color="auto"/>
            <w:bottom w:val="none" w:sz="0" w:space="0" w:color="auto"/>
            <w:right w:val="none" w:sz="0" w:space="0" w:color="auto"/>
          </w:tblBorders>
        </w:tblPrEx>
        <w:tc>
          <w:tcPr>
            <w:tcW w:w="5017" w:type="dxa"/>
            <w:gridSpan w:val="4"/>
          </w:tcPr>
          <w:p w14:paraId="3924C39C" w14:textId="77777777" w:rsidR="00063766" w:rsidRPr="0069016B" w:rsidRDefault="00063766" w:rsidP="00AD25EB">
            <w:pPr>
              <w:pStyle w:val="naiskr"/>
              <w:spacing w:before="0" w:after="0"/>
              <w:ind w:firstLine="720"/>
              <w:rPr>
                <w:color w:val="000000"/>
              </w:rPr>
            </w:pPr>
          </w:p>
        </w:tc>
        <w:tc>
          <w:tcPr>
            <w:tcW w:w="9975" w:type="dxa"/>
            <w:gridSpan w:val="4"/>
            <w:tcBorders>
              <w:top w:val="single" w:sz="6" w:space="0" w:color="000000"/>
            </w:tcBorders>
          </w:tcPr>
          <w:p w14:paraId="52711628" w14:textId="77777777" w:rsidR="00063766" w:rsidRPr="0069016B" w:rsidRDefault="00063766" w:rsidP="00AD25EB">
            <w:pPr>
              <w:pStyle w:val="naisc"/>
              <w:spacing w:before="0" w:after="0"/>
              <w:ind w:firstLine="720"/>
              <w:rPr>
                <w:color w:val="000000"/>
              </w:rPr>
            </w:pPr>
            <w:r w:rsidRPr="0069016B">
              <w:rPr>
                <w:color w:val="000000"/>
              </w:rPr>
              <w:t>(paraksts*)</w:t>
            </w:r>
          </w:p>
        </w:tc>
      </w:tr>
    </w:tbl>
    <w:p w14:paraId="5F53A8F3" w14:textId="77777777" w:rsidR="00063766" w:rsidRPr="0069016B" w:rsidRDefault="00063766" w:rsidP="00063766">
      <w:pPr>
        <w:pStyle w:val="naisf"/>
        <w:spacing w:before="0" w:after="0"/>
        <w:ind w:firstLine="720"/>
        <w:rPr>
          <w:color w:val="000000"/>
        </w:rPr>
      </w:pPr>
    </w:p>
    <w:p w14:paraId="278557BB" w14:textId="77777777" w:rsidR="00063766" w:rsidRPr="0069016B" w:rsidRDefault="00063766" w:rsidP="00063766">
      <w:pPr>
        <w:pStyle w:val="naisf"/>
        <w:spacing w:before="0" w:after="0"/>
        <w:ind w:firstLine="720"/>
        <w:rPr>
          <w:color w:val="000000"/>
        </w:rPr>
      </w:pPr>
    </w:p>
    <w:p w14:paraId="41837886" w14:textId="77777777" w:rsidR="00063766" w:rsidRPr="0069016B" w:rsidRDefault="00063766" w:rsidP="00063766">
      <w:pPr>
        <w:pStyle w:val="naisf"/>
        <w:spacing w:before="0" w:after="0"/>
        <w:ind w:firstLine="720"/>
        <w:rPr>
          <w:color w:val="000000"/>
        </w:rPr>
      </w:pPr>
      <w:r w:rsidRPr="0069016B">
        <w:rPr>
          <w:color w:val="000000"/>
        </w:rPr>
        <w:t>Piezīme. * Dokumenta rekvizītu "paraksts" neaizpilda, ja elektroniskais dokuments ir sagatavots atbilstoši normatīvajiem aktiem par elektronisko dokumentu noformēšanu.</w:t>
      </w:r>
    </w:p>
    <w:p w14:paraId="6BB3937B" w14:textId="77777777" w:rsidR="00063766" w:rsidRPr="00A07600" w:rsidRDefault="00AF6C2C" w:rsidP="00063766">
      <w:pPr>
        <w:pStyle w:val="naisf"/>
        <w:spacing w:before="0" w:after="0"/>
        <w:ind w:firstLine="0"/>
      </w:pPr>
      <w:r w:rsidRPr="00A07600">
        <w:t>Mārtiņš Baltmanis</w:t>
      </w:r>
    </w:p>
    <w:tbl>
      <w:tblPr>
        <w:tblW w:w="0" w:type="auto"/>
        <w:tblLook w:val="00A0" w:firstRow="1" w:lastRow="0" w:firstColumn="1" w:lastColumn="0" w:noHBand="0" w:noVBand="0"/>
      </w:tblPr>
      <w:tblGrid>
        <w:gridCol w:w="8268"/>
      </w:tblGrid>
      <w:tr w:rsidR="00A07600" w:rsidRPr="00A07600" w14:paraId="07FAD727" w14:textId="77777777" w:rsidTr="00AD25EB">
        <w:tc>
          <w:tcPr>
            <w:tcW w:w="8268" w:type="dxa"/>
            <w:tcBorders>
              <w:top w:val="single" w:sz="4" w:space="0" w:color="000000"/>
            </w:tcBorders>
          </w:tcPr>
          <w:p w14:paraId="632DB79D" w14:textId="77777777" w:rsidR="00063766" w:rsidRPr="00A07600" w:rsidRDefault="00063766" w:rsidP="00AD25EB">
            <w:pPr>
              <w:jc w:val="center"/>
            </w:pPr>
            <w:r w:rsidRPr="00A07600">
              <w:lastRenderedPageBreak/>
              <w:t>(par projektu atbildīgās amatpersonas vārds un uzvārds)</w:t>
            </w:r>
          </w:p>
          <w:p w14:paraId="6BE9EB75" w14:textId="77777777" w:rsidR="00063766" w:rsidRPr="00A07600" w:rsidRDefault="00063766" w:rsidP="00AD25EB">
            <w:pPr>
              <w:jc w:val="center"/>
            </w:pPr>
          </w:p>
        </w:tc>
      </w:tr>
      <w:tr w:rsidR="00A07600" w:rsidRPr="00A07600" w14:paraId="0D2C70E5" w14:textId="77777777" w:rsidTr="00AD25EB">
        <w:tc>
          <w:tcPr>
            <w:tcW w:w="8268" w:type="dxa"/>
            <w:tcBorders>
              <w:bottom w:val="single" w:sz="4" w:space="0" w:color="000000"/>
            </w:tcBorders>
          </w:tcPr>
          <w:p w14:paraId="3D1C9928" w14:textId="77777777" w:rsidR="00063766" w:rsidRPr="00A07600" w:rsidRDefault="00063766" w:rsidP="00AF6C2C">
            <w:pPr>
              <w:jc w:val="both"/>
            </w:pPr>
            <w:r w:rsidRPr="00A07600">
              <w:t xml:space="preserve">Valsts ugunsdzēsības un glābšanas dienesta </w:t>
            </w:r>
            <w:r w:rsidR="00AF6C2C" w:rsidRPr="00A07600">
              <w:t>priekšnieka vietnieks</w:t>
            </w:r>
          </w:p>
        </w:tc>
      </w:tr>
      <w:tr w:rsidR="00A07600" w:rsidRPr="00A07600" w14:paraId="2E440054" w14:textId="77777777" w:rsidTr="00AD25EB">
        <w:tc>
          <w:tcPr>
            <w:tcW w:w="8268" w:type="dxa"/>
            <w:tcBorders>
              <w:top w:val="single" w:sz="4" w:space="0" w:color="000000"/>
            </w:tcBorders>
          </w:tcPr>
          <w:p w14:paraId="7CF3C11A" w14:textId="77777777" w:rsidR="00063766" w:rsidRPr="00A07600" w:rsidRDefault="00063766" w:rsidP="00AD25EB">
            <w:pPr>
              <w:jc w:val="center"/>
            </w:pPr>
            <w:r w:rsidRPr="00A07600">
              <w:t>(amats)</w:t>
            </w:r>
          </w:p>
        </w:tc>
      </w:tr>
      <w:tr w:rsidR="00A07600" w:rsidRPr="00A07600" w14:paraId="3C825C9A" w14:textId="77777777" w:rsidTr="00AD25EB">
        <w:tc>
          <w:tcPr>
            <w:tcW w:w="8268" w:type="dxa"/>
            <w:tcBorders>
              <w:bottom w:val="single" w:sz="4" w:space="0" w:color="000000"/>
            </w:tcBorders>
          </w:tcPr>
          <w:p w14:paraId="01CD4FFD" w14:textId="77777777" w:rsidR="00063766" w:rsidRPr="00A07600" w:rsidRDefault="00063766" w:rsidP="00AF6C2C">
            <w:r w:rsidRPr="00A07600">
              <w:t>67075</w:t>
            </w:r>
            <w:r w:rsidR="00AF6C2C" w:rsidRPr="00A07600">
              <w:t>990</w:t>
            </w:r>
          </w:p>
        </w:tc>
      </w:tr>
      <w:tr w:rsidR="00A07600" w:rsidRPr="00A07600" w14:paraId="2D3144C9" w14:textId="77777777" w:rsidTr="00AD25EB">
        <w:tc>
          <w:tcPr>
            <w:tcW w:w="8268" w:type="dxa"/>
            <w:tcBorders>
              <w:top w:val="single" w:sz="4" w:space="0" w:color="000000"/>
            </w:tcBorders>
          </w:tcPr>
          <w:p w14:paraId="7027428E" w14:textId="77777777" w:rsidR="00063766" w:rsidRPr="00A07600" w:rsidRDefault="00063766" w:rsidP="00AD25EB">
            <w:pPr>
              <w:jc w:val="center"/>
            </w:pPr>
            <w:r w:rsidRPr="00A07600">
              <w:t>(tālruņa un faksa numurs)</w:t>
            </w:r>
          </w:p>
        </w:tc>
      </w:tr>
      <w:tr w:rsidR="00A07600" w:rsidRPr="00A07600" w14:paraId="71CCC1F8" w14:textId="77777777" w:rsidTr="00AD25EB">
        <w:tc>
          <w:tcPr>
            <w:tcW w:w="8268" w:type="dxa"/>
            <w:tcBorders>
              <w:bottom w:val="single" w:sz="4" w:space="0" w:color="000000"/>
            </w:tcBorders>
          </w:tcPr>
          <w:p w14:paraId="5628AEF5" w14:textId="77777777" w:rsidR="00063766" w:rsidRPr="00A07600" w:rsidRDefault="00AF6C2C" w:rsidP="00AD25EB">
            <w:r w:rsidRPr="00A07600">
              <w:t>martins.baltmanis</w:t>
            </w:r>
            <w:r w:rsidR="00063766" w:rsidRPr="00A07600">
              <w:t>@vugd.gov.lv</w:t>
            </w:r>
          </w:p>
        </w:tc>
      </w:tr>
      <w:tr w:rsidR="00063766" w:rsidRPr="0069016B" w14:paraId="71B141A6" w14:textId="77777777" w:rsidTr="00AD25EB">
        <w:tc>
          <w:tcPr>
            <w:tcW w:w="8268" w:type="dxa"/>
            <w:tcBorders>
              <w:top w:val="single" w:sz="4" w:space="0" w:color="000000"/>
            </w:tcBorders>
          </w:tcPr>
          <w:p w14:paraId="573A468C" w14:textId="77777777" w:rsidR="00063766" w:rsidRPr="0069016B" w:rsidRDefault="00063766" w:rsidP="00AD25EB">
            <w:pPr>
              <w:jc w:val="center"/>
              <w:rPr>
                <w:color w:val="000000"/>
              </w:rPr>
            </w:pPr>
            <w:r w:rsidRPr="0069016B">
              <w:rPr>
                <w:color w:val="000000"/>
              </w:rPr>
              <w:t>(e-pasta adrese)</w:t>
            </w:r>
          </w:p>
        </w:tc>
      </w:tr>
    </w:tbl>
    <w:p w14:paraId="38306083" w14:textId="77777777" w:rsidR="00063766" w:rsidRPr="0069016B" w:rsidRDefault="00063766" w:rsidP="00063766">
      <w:pPr>
        <w:tabs>
          <w:tab w:val="left" w:pos="2592"/>
        </w:tabs>
        <w:rPr>
          <w:color w:val="000000"/>
        </w:rPr>
      </w:pPr>
    </w:p>
    <w:p w14:paraId="32F347F3" w14:textId="77777777" w:rsidR="00063766" w:rsidRPr="0069016B" w:rsidRDefault="00063766" w:rsidP="00063766">
      <w:pPr>
        <w:rPr>
          <w:color w:val="000000"/>
          <w:sz w:val="22"/>
          <w:szCs w:val="22"/>
        </w:rPr>
      </w:pPr>
    </w:p>
    <w:p w14:paraId="3A1BFE42" w14:textId="77777777" w:rsidR="005E2683" w:rsidRDefault="005E2683"/>
    <w:sectPr w:rsidR="005E2683" w:rsidSect="006E34EF">
      <w:headerReference w:type="even" r:id="rId7"/>
      <w:headerReference w:type="default" r:id="rId8"/>
      <w:footerReference w:type="default" r:id="rId9"/>
      <w:footerReference w:type="first" r:id="rId10"/>
      <w:pgSz w:w="16838" w:h="11906" w:orient="landscape" w:code="9"/>
      <w:pgMar w:top="1418" w:right="1134" w:bottom="1134" w:left="1701"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638A" w14:textId="77777777" w:rsidR="00F9406D" w:rsidRDefault="00F9406D" w:rsidP="00AF6C2C">
      <w:r>
        <w:separator/>
      </w:r>
    </w:p>
  </w:endnote>
  <w:endnote w:type="continuationSeparator" w:id="0">
    <w:p w14:paraId="4FF00622" w14:textId="77777777" w:rsidR="00F9406D" w:rsidRDefault="00F9406D" w:rsidP="00AF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18A0" w14:textId="77777777" w:rsidR="004E5A0C" w:rsidRPr="000F78F7" w:rsidRDefault="006F12CF" w:rsidP="00235BCD">
    <w:pPr>
      <w:widowControl w:val="0"/>
      <w:tabs>
        <w:tab w:val="center" w:pos="4320"/>
        <w:tab w:val="right" w:pos="8640"/>
      </w:tabs>
      <w:jc w:val="both"/>
      <w:rPr>
        <w:sz w:val="16"/>
        <w:szCs w:val="16"/>
      </w:rPr>
    </w:pPr>
    <w:r>
      <w:rPr>
        <w:rFonts w:eastAsia="Calibri"/>
        <w:sz w:val="20"/>
        <w:szCs w:val="20"/>
        <w:lang w:eastAsia="en-US"/>
      </w:rPr>
      <w:t xml:space="preserve"> </w:t>
    </w:r>
  </w:p>
  <w:p w14:paraId="7353B792" w14:textId="77777777" w:rsidR="004E5A0C" w:rsidRPr="00F72901" w:rsidRDefault="00F9406D" w:rsidP="00F72901">
    <w:pPr>
      <w:pStyle w:val="Footer"/>
      <w:jc w:val="both"/>
      <w:rPr>
        <w:rFonts w:ascii="Calibri" w:eastAsia="Calibri" w:hAnsi="Calibri"/>
        <w:sz w:val="22"/>
        <w:szCs w:val="22"/>
        <w:lang w:val="en-US" w:eastAsia="en-US"/>
      </w:rPr>
    </w:pPr>
  </w:p>
  <w:p w14:paraId="6DB64935" w14:textId="09B315AA" w:rsidR="004E5A0C" w:rsidRPr="000F78F7" w:rsidRDefault="006F12CF" w:rsidP="00EE2B18">
    <w:pPr>
      <w:pStyle w:val="naislab"/>
      <w:spacing w:before="0" w:after="0"/>
      <w:jc w:val="left"/>
      <w:rPr>
        <w:sz w:val="16"/>
        <w:szCs w:val="16"/>
      </w:rPr>
    </w:pPr>
    <w:r w:rsidRPr="006E34EF">
      <w:rPr>
        <w:sz w:val="18"/>
        <w:szCs w:val="18"/>
      </w:rPr>
      <w:fldChar w:fldCharType="begin"/>
    </w:r>
    <w:r w:rsidRPr="006E34EF">
      <w:rPr>
        <w:sz w:val="18"/>
        <w:szCs w:val="18"/>
      </w:rPr>
      <w:instrText xml:space="preserve"> FILENAME   \* MERGEFORMAT </w:instrText>
    </w:r>
    <w:r w:rsidRPr="006E34EF">
      <w:rPr>
        <w:sz w:val="18"/>
        <w:szCs w:val="18"/>
      </w:rPr>
      <w:fldChar w:fldCharType="separate"/>
    </w:r>
    <w:r>
      <w:rPr>
        <w:noProof/>
        <w:sz w:val="18"/>
        <w:szCs w:val="18"/>
      </w:rPr>
      <w:t>IEMIzz_</w:t>
    </w:r>
    <w:r w:rsidR="00772D68">
      <w:rPr>
        <w:noProof/>
        <w:sz w:val="18"/>
        <w:szCs w:val="18"/>
      </w:rPr>
      <w:t>0212</w:t>
    </w:r>
    <w:r>
      <w:rPr>
        <w:noProof/>
        <w:sz w:val="18"/>
        <w:szCs w:val="18"/>
      </w:rPr>
      <w:t>21_</w:t>
    </w:r>
    <w:r w:rsidRPr="006E34EF">
      <w:rPr>
        <w:sz w:val="18"/>
        <w:szCs w:val="18"/>
      </w:rPr>
      <w:fldChar w:fldCharType="end"/>
    </w:r>
    <w:r w:rsidR="00AF6C2C">
      <w:rPr>
        <w:sz w:val="18"/>
        <w:szCs w:val="18"/>
      </w:rPr>
      <w:t>BUO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8F45" w14:textId="29211577" w:rsidR="00CB4C35" w:rsidRDefault="00AF6C2C" w:rsidP="001652AB">
    <w:pPr>
      <w:pStyle w:val="naislab"/>
      <w:tabs>
        <w:tab w:val="left" w:pos="5151"/>
        <w:tab w:val="center" w:pos="7001"/>
        <w:tab w:val="right" w:pos="14003"/>
      </w:tabs>
      <w:spacing w:before="0" w:after="0"/>
      <w:ind w:firstLine="720"/>
      <w:jc w:val="left"/>
      <w:rPr>
        <w:sz w:val="18"/>
        <w:szCs w:val="18"/>
      </w:rPr>
    </w:pPr>
    <w:r w:rsidRPr="00AF6C2C">
      <w:rPr>
        <w:sz w:val="18"/>
        <w:szCs w:val="18"/>
      </w:rPr>
      <w:t>IEMIzz_</w:t>
    </w:r>
    <w:r w:rsidR="00772D68">
      <w:rPr>
        <w:sz w:val="18"/>
        <w:szCs w:val="18"/>
      </w:rPr>
      <w:t>0212</w:t>
    </w:r>
    <w:r w:rsidRPr="00AF6C2C">
      <w:rPr>
        <w:sz w:val="18"/>
        <w:szCs w:val="18"/>
      </w:rPr>
      <w:t>21_BUO</w:t>
    </w:r>
  </w:p>
  <w:p w14:paraId="0A792F13" w14:textId="77777777" w:rsidR="004E5A0C" w:rsidRPr="006E34EF" w:rsidRDefault="006F12CF" w:rsidP="001652AB">
    <w:pPr>
      <w:pStyle w:val="naislab"/>
      <w:tabs>
        <w:tab w:val="left" w:pos="5151"/>
        <w:tab w:val="center" w:pos="7001"/>
        <w:tab w:val="right" w:pos="14003"/>
      </w:tabs>
      <w:spacing w:before="0" w:after="0"/>
      <w:ind w:firstLine="720"/>
      <w:jc w:val="left"/>
      <w:rPr>
        <w:sz w:val="18"/>
        <w:szCs w:val="18"/>
      </w:rPr>
    </w:pPr>
    <w:r w:rsidRPr="006E34EF">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3633" w14:textId="77777777" w:rsidR="00F9406D" w:rsidRDefault="00F9406D" w:rsidP="00AF6C2C">
      <w:r>
        <w:separator/>
      </w:r>
    </w:p>
  </w:footnote>
  <w:footnote w:type="continuationSeparator" w:id="0">
    <w:p w14:paraId="60EBA1C9" w14:textId="77777777" w:rsidR="00F9406D" w:rsidRDefault="00F9406D" w:rsidP="00AF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6A3" w14:textId="77777777" w:rsidR="004E5A0C" w:rsidRDefault="006F12C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7C133" w14:textId="77777777" w:rsidR="004E5A0C" w:rsidRDefault="00F94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8DD6" w14:textId="77777777" w:rsidR="004E5A0C" w:rsidRPr="00F02107" w:rsidRDefault="006F12CF" w:rsidP="00364BB6">
    <w:pPr>
      <w:pStyle w:val="Header"/>
      <w:framePr w:wrap="around" w:vAnchor="text" w:hAnchor="margin" w:xAlign="center" w:y="1"/>
      <w:rPr>
        <w:rStyle w:val="PageNumber"/>
        <w:sz w:val="22"/>
        <w:szCs w:val="22"/>
      </w:rPr>
    </w:pPr>
    <w:r w:rsidRPr="00F02107">
      <w:rPr>
        <w:rStyle w:val="PageNumber"/>
        <w:sz w:val="22"/>
        <w:szCs w:val="22"/>
      </w:rPr>
      <w:fldChar w:fldCharType="begin"/>
    </w:r>
    <w:r w:rsidRPr="00F02107">
      <w:rPr>
        <w:rStyle w:val="PageNumber"/>
        <w:sz w:val="22"/>
        <w:szCs w:val="22"/>
      </w:rPr>
      <w:instrText xml:space="preserve">PAGE  </w:instrText>
    </w:r>
    <w:r w:rsidRPr="00F02107">
      <w:rPr>
        <w:rStyle w:val="PageNumber"/>
        <w:sz w:val="22"/>
        <w:szCs w:val="22"/>
      </w:rPr>
      <w:fldChar w:fldCharType="separate"/>
    </w:r>
    <w:r w:rsidR="00772D68">
      <w:rPr>
        <w:rStyle w:val="PageNumber"/>
        <w:noProof/>
        <w:sz w:val="22"/>
        <w:szCs w:val="22"/>
      </w:rPr>
      <w:t>13</w:t>
    </w:r>
    <w:r w:rsidRPr="00F02107">
      <w:rPr>
        <w:rStyle w:val="PageNumber"/>
        <w:sz w:val="22"/>
        <w:szCs w:val="22"/>
      </w:rPr>
      <w:fldChar w:fldCharType="end"/>
    </w:r>
  </w:p>
  <w:p w14:paraId="4FA24F24" w14:textId="77777777" w:rsidR="004E5A0C" w:rsidRPr="00F02107" w:rsidRDefault="00F9406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3FE"/>
    <w:multiLevelType w:val="hybridMultilevel"/>
    <w:tmpl w:val="CB285EAA"/>
    <w:lvl w:ilvl="0" w:tplc="DAE079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613142E"/>
    <w:multiLevelType w:val="hybridMultilevel"/>
    <w:tmpl w:val="EEDAD6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66"/>
    <w:rsid w:val="00063766"/>
    <w:rsid w:val="00084C19"/>
    <w:rsid w:val="000A320F"/>
    <w:rsid w:val="00102955"/>
    <w:rsid w:val="00146DF7"/>
    <w:rsid w:val="00156474"/>
    <w:rsid w:val="00160F31"/>
    <w:rsid w:val="00166CCA"/>
    <w:rsid w:val="00182B72"/>
    <w:rsid w:val="00245BDF"/>
    <w:rsid w:val="002471C0"/>
    <w:rsid w:val="003D569B"/>
    <w:rsid w:val="003E2C82"/>
    <w:rsid w:val="00462F15"/>
    <w:rsid w:val="00494F50"/>
    <w:rsid w:val="004A1DC8"/>
    <w:rsid w:val="004B2A0E"/>
    <w:rsid w:val="004F663E"/>
    <w:rsid w:val="00511405"/>
    <w:rsid w:val="00515114"/>
    <w:rsid w:val="0052217A"/>
    <w:rsid w:val="00566E98"/>
    <w:rsid w:val="005859F3"/>
    <w:rsid w:val="0059000A"/>
    <w:rsid w:val="005E2683"/>
    <w:rsid w:val="005E387D"/>
    <w:rsid w:val="005E4866"/>
    <w:rsid w:val="006333EF"/>
    <w:rsid w:val="00640EDA"/>
    <w:rsid w:val="0065574F"/>
    <w:rsid w:val="006B320F"/>
    <w:rsid w:val="006D0557"/>
    <w:rsid w:val="006F12CF"/>
    <w:rsid w:val="006F3C48"/>
    <w:rsid w:val="006F5D75"/>
    <w:rsid w:val="00772D68"/>
    <w:rsid w:val="0077783E"/>
    <w:rsid w:val="00787412"/>
    <w:rsid w:val="007B5C21"/>
    <w:rsid w:val="007C0251"/>
    <w:rsid w:val="007E28E2"/>
    <w:rsid w:val="008124B1"/>
    <w:rsid w:val="008173B2"/>
    <w:rsid w:val="00834C59"/>
    <w:rsid w:val="00846CA8"/>
    <w:rsid w:val="0089603E"/>
    <w:rsid w:val="008965A1"/>
    <w:rsid w:val="008A6D73"/>
    <w:rsid w:val="00916F3C"/>
    <w:rsid w:val="00951ED8"/>
    <w:rsid w:val="0097510D"/>
    <w:rsid w:val="00994EE7"/>
    <w:rsid w:val="009A768F"/>
    <w:rsid w:val="009B688A"/>
    <w:rsid w:val="009D6F5C"/>
    <w:rsid w:val="009F0277"/>
    <w:rsid w:val="009F3B9C"/>
    <w:rsid w:val="00A07600"/>
    <w:rsid w:val="00A21E48"/>
    <w:rsid w:val="00A838BD"/>
    <w:rsid w:val="00A867B4"/>
    <w:rsid w:val="00A945A2"/>
    <w:rsid w:val="00AF6C2C"/>
    <w:rsid w:val="00B367FF"/>
    <w:rsid w:val="00B41188"/>
    <w:rsid w:val="00B45595"/>
    <w:rsid w:val="00B916BC"/>
    <w:rsid w:val="00B92302"/>
    <w:rsid w:val="00BC08A1"/>
    <w:rsid w:val="00BE53F0"/>
    <w:rsid w:val="00C63119"/>
    <w:rsid w:val="00C83172"/>
    <w:rsid w:val="00C87EFE"/>
    <w:rsid w:val="00C9064B"/>
    <w:rsid w:val="00CB43EB"/>
    <w:rsid w:val="00D51A36"/>
    <w:rsid w:val="00D528E8"/>
    <w:rsid w:val="00D54101"/>
    <w:rsid w:val="00D8037D"/>
    <w:rsid w:val="00DB2098"/>
    <w:rsid w:val="00E00BB7"/>
    <w:rsid w:val="00E83261"/>
    <w:rsid w:val="00EF7580"/>
    <w:rsid w:val="00F509A6"/>
    <w:rsid w:val="00F56D58"/>
    <w:rsid w:val="00F7225B"/>
    <w:rsid w:val="00F9406D"/>
    <w:rsid w:val="00FD6159"/>
    <w:rsid w:val="00FE4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4ACF"/>
  <w15:chartTrackingRefBased/>
  <w15:docId w15:val="{19AFC12F-B2BF-447D-9351-B86C7D6F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6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63766"/>
    <w:pPr>
      <w:spacing w:before="75" w:after="75"/>
      <w:ind w:firstLine="375"/>
      <w:jc w:val="both"/>
    </w:pPr>
  </w:style>
  <w:style w:type="paragraph" w:customStyle="1" w:styleId="naislab">
    <w:name w:val="naislab"/>
    <w:basedOn w:val="Normal"/>
    <w:uiPriority w:val="99"/>
    <w:rsid w:val="00063766"/>
    <w:pPr>
      <w:spacing w:before="75" w:after="75"/>
      <w:jc w:val="right"/>
    </w:pPr>
  </w:style>
  <w:style w:type="paragraph" w:customStyle="1" w:styleId="naiskr">
    <w:name w:val="naiskr"/>
    <w:basedOn w:val="Normal"/>
    <w:rsid w:val="00063766"/>
    <w:pPr>
      <w:spacing w:before="75" w:after="75"/>
    </w:pPr>
  </w:style>
  <w:style w:type="paragraph" w:customStyle="1" w:styleId="naisc">
    <w:name w:val="naisc"/>
    <w:basedOn w:val="Normal"/>
    <w:rsid w:val="00063766"/>
    <w:pPr>
      <w:spacing w:before="75" w:after="75"/>
      <w:jc w:val="center"/>
    </w:pPr>
  </w:style>
  <w:style w:type="paragraph" w:styleId="Header">
    <w:name w:val="header"/>
    <w:basedOn w:val="Normal"/>
    <w:link w:val="HeaderChar"/>
    <w:uiPriority w:val="99"/>
    <w:rsid w:val="00063766"/>
    <w:pPr>
      <w:tabs>
        <w:tab w:val="center" w:pos="4153"/>
        <w:tab w:val="right" w:pos="8306"/>
      </w:tabs>
    </w:pPr>
  </w:style>
  <w:style w:type="character" w:customStyle="1" w:styleId="HeaderChar">
    <w:name w:val="Header Char"/>
    <w:basedOn w:val="DefaultParagraphFont"/>
    <w:link w:val="Header"/>
    <w:uiPriority w:val="99"/>
    <w:rsid w:val="00063766"/>
    <w:rPr>
      <w:rFonts w:ascii="Times New Roman" w:eastAsia="Times New Roman" w:hAnsi="Times New Roman" w:cs="Times New Roman"/>
      <w:sz w:val="24"/>
      <w:szCs w:val="24"/>
      <w:lang w:eastAsia="lv-LV"/>
    </w:rPr>
  </w:style>
  <w:style w:type="character" w:styleId="PageNumber">
    <w:name w:val="page number"/>
    <w:uiPriority w:val="99"/>
    <w:rsid w:val="00063766"/>
    <w:rPr>
      <w:rFonts w:cs="Times New Roman"/>
    </w:rPr>
  </w:style>
  <w:style w:type="paragraph" w:styleId="Footer">
    <w:name w:val="footer"/>
    <w:basedOn w:val="Normal"/>
    <w:link w:val="FooterChar"/>
    <w:uiPriority w:val="99"/>
    <w:rsid w:val="00063766"/>
    <w:pPr>
      <w:tabs>
        <w:tab w:val="center" w:pos="4153"/>
        <w:tab w:val="right" w:pos="8306"/>
      </w:tabs>
    </w:pPr>
  </w:style>
  <w:style w:type="character" w:customStyle="1" w:styleId="FooterChar">
    <w:name w:val="Footer Char"/>
    <w:basedOn w:val="DefaultParagraphFont"/>
    <w:link w:val="Footer"/>
    <w:uiPriority w:val="99"/>
    <w:rsid w:val="0006376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F5D75"/>
    <w:rPr>
      <w:sz w:val="16"/>
      <w:szCs w:val="16"/>
    </w:rPr>
  </w:style>
  <w:style w:type="paragraph" w:styleId="CommentText">
    <w:name w:val="annotation text"/>
    <w:basedOn w:val="Normal"/>
    <w:link w:val="CommentTextChar"/>
    <w:uiPriority w:val="99"/>
    <w:semiHidden/>
    <w:unhideWhenUsed/>
    <w:rsid w:val="006F5D75"/>
    <w:rPr>
      <w:sz w:val="20"/>
      <w:szCs w:val="20"/>
    </w:rPr>
  </w:style>
  <w:style w:type="character" w:customStyle="1" w:styleId="CommentTextChar">
    <w:name w:val="Comment Text Char"/>
    <w:basedOn w:val="DefaultParagraphFont"/>
    <w:link w:val="CommentText"/>
    <w:uiPriority w:val="99"/>
    <w:semiHidden/>
    <w:rsid w:val="006F5D7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F5D75"/>
    <w:rPr>
      <w:b/>
      <w:bCs/>
    </w:rPr>
  </w:style>
  <w:style w:type="character" w:customStyle="1" w:styleId="CommentSubjectChar">
    <w:name w:val="Comment Subject Char"/>
    <w:basedOn w:val="CommentTextChar"/>
    <w:link w:val="CommentSubject"/>
    <w:uiPriority w:val="99"/>
    <w:semiHidden/>
    <w:rsid w:val="006F5D7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F5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D75"/>
    <w:rPr>
      <w:rFonts w:ascii="Segoe UI" w:eastAsia="Times New Roman" w:hAnsi="Segoe UI" w:cs="Segoe UI"/>
      <w:sz w:val="18"/>
      <w:szCs w:val="18"/>
      <w:lang w:eastAsia="lv-LV"/>
    </w:rPr>
  </w:style>
  <w:style w:type="paragraph" w:styleId="ListParagraph">
    <w:name w:val="List Paragraph"/>
    <w:basedOn w:val="Normal"/>
    <w:uiPriority w:val="34"/>
    <w:qFormat/>
    <w:rsid w:val="003E2C82"/>
    <w:pPr>
      <w:ind w:left="720"/>
      <w:contextualSpacing/>
    </w:pPr>
  </w:style>
  <w:style w:type="paragraph" w:styleId="Revision">
    <w:name w:val="Revision"/>
    <w:hidden/>
    <w:uiPriority w:val="99"/>
    <w:semiHidden/>
    <w:rsid w:val="00146DF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3543</Words>
  <Characters>20198</Characters>
  <Application>Microsoft Office Word</Application>
  <DocSecurity>0</DocSecurity>
  <Lines>168</Lines>
  <Paragraphs>47</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Jurijs Nikolenko</cp:lastModifiedBy>
  <cp:revision>2</cp:revision>
  <dcterms:created xsi:type="dcterms:W3CDTF">2021-12-09T03:46:00Z</dcterms:created>
  <dcterms:modified xsi:type="dcterms:W3CDTF">2021-12-09T03:46:00Z</dcterms:modified>
</cp:coreProperties>
</file>