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24D97" w:rsidR="009D4ADF" w:rsidP="009D4ADF" w:rsidRDefault="009D4ADF" w14:paraId="45378CA6" w14:textId="1F584763">
      <w:pPr>
        <w:rPr>
          <w:szCs w:val="24"/>
        </w:rPr>
      </w:pPr>
      <w:r>
        <w:rPr>
          <w:szCs w:val="24"/>
        </w:rPr>
        <w:t>Uz 14.01.2021. VSS-29 (prot. Nr. 2</w:t>
      </w:r>
      <w:r w:rsidRPr="00B24D97">
        <w:rPr>
          <w:szCs w:val="24"/>
        </w:rPr>
        <w:t xml:space="preserve"> </w:t>
      </w:r>
      <w:r>
        <w:rPr>
          <w:szCs w:val="24"/>
        </w:rPr>
        <w:t>16</w:t>
      </w:r>
      <w:r w:rsidRPr="00B24D97">
        <w:rPr>
          <w:szCs w:val="24"/>
        </w:rPr>
        <w:t>.§)</w:t>
      </w:r>
    </w:p>
    <w:p w:rsidRPr="008B7096" w:rsidR="009D4ADF" w:rsidP="009D4ADF" w:rsidRDefault="009D4ADF" w14:paraId="7F1B868E" w14:textId="77777777">
      <w:pPr>
        <w:jc w:val="right"/>
        <w:rPr>
          <w:b/>
          <w:szCs w:val="24"/>
        </w:rPr>
      </w:pPr>
      <w:r w:rsidRPr="00D7423E">
        <w:rPr>
          <w:b/>
          <w:szCs w:val="24"/>
        </w:rPr>
        <w:t>Izglītības un zinātnes</w:t>
      </w:r>
      <w:r w:rsidRPr="008B7096">
        <w:rPr>
          <w:b/>
          <w:szCs w:val="24"/>
        </w:rPr>
        <w:t xml:space="preserve"> ministrijai</w:t>
      </w:r>
    </w:p>
    <w:p w:rsidRPr="008B7096" w:rsidR="009D4ADF" w:rsidP="009D4ADF" w:rsidRDefault="009D4ADF" w14:paraId="5E05F603" w14:textId="77777777">
      <w:pPr>
        <w:rPr>
          <w:i/>
          <w:szCs w:val="24"/>
        </w:rPr>
      </w:pPr>
    </w:p>
    <w:p w:rsidRPr="009D4ADF" w:rsidR="009D4ADF" w:rsidP="009D4ADF" w:rsidRDefault="009D4ADF" w14:paraId="25BBB7D2" w14:textId="0A512298">
      <w:pPr>
        <w:tabs>
          <w:tab w:val="left" w:pos="4678"/>
        </w:tabs>
        <w:suppressAutoHyphens/>
        <w:ind w:right="4548"/>
        <w:rPr>
          <w:rFonts w:eastAsia="Times New Roman"/>
          <w:szCs w:val="24"/>
          <w:lang w:eastAsia="zh-CN"/>
        </w:rPr>
      </w:pPr>
      <w:r w:rsidRPr="009D4ADF">
        <w:rPr>
          <w:rFonts w:eastAsia="Times New Roman"/>
          <w:i/>
          <w:szCs w:val="24"/>
          <w:lang w:eastAsia="zh-CN"/>
        </w:rPr>
        <w:t xml:space="preserve">Par informatīvo ziņojumu </w:t>
      </w:r>
      <w:r w:rsidRPr="009D4ADF">
        <w:rPr>
          <w:i/>
        </w:rPr>
        <w:t>"</w:t>
      </w:r>
      <w:r w:rsidRPr="009D4ADF">
        <w:rPr>
          <w:rFonts w:eastAsia="Times New Roman"/>
          <w:i/>
          <w:szCs w:val="24"/>
          <w:lang w:eastAsia="zh-CN"/>
        </w:rPr>
        <w:t>Par absolventu monitoringa sistēmas izveidi profesionālajā izglītībā</w:t>
      </w:r>
      <w:r w:rsidRPr="009D4ADF">
        <w:rPr>
          <w:i/>
        </w:rPr>
        <w:t>"</w:t>
      </w:r>
      <w:r w:rsidRPr="009D4ADF">
        <w:t xml:space="preserve"> </w:t>
      </w:r>
    </w:p>
    <w:p w:rsidR="009D4ADF" w:rsidP="009D4ADF" w:rsidRDefault="009D4ADF" w14:paraId="2D87A7E4" w14:textId="77777777"/>
    <w:p w:rsidR="009D4ADF" w:rsidP="009D4ADF" w:rsidRDefault="009D4ADF" w14:paraId="48409CEF" w14:textId="0449F1D4">
      <w:pPr>
        <w:ind w:firstLine="851"/>
        <w:rPr>
          <w:rFonts w:eastAsia="Times New Roman"/>
          <w:bCs/>
          <w:szCs w:val="24"/>
          <w:lang w:eastAsia="zh-CN"/>
        </w:rPr>
      </w:pPr>
      <w:r w:rsidRPr="009D4ADF">
        <w:rPr>
          <w:rFonts w:eastAsia="Times New Roman"/>
          <w:szCs w:val="24"/>
          <w:lang w:eastAsia="zh-CN"/>
        </w:rPr>
        <w:t xml:space="preserve">Tieslietu ministrija ir izskatījusi Izglītības un zinātnes ministrijas izstrādāto </w:t>
      </w:r>
      <w:r w:rsidR="00BD5A79">
        <w:rPr>
          <w:rFonts w:eastAsia="Times New Roman"/>
          <w:szCs w:val="24"/>
          <w:lang w:eastAsia="zh-CN"/>
        </w:rPr>
        <w:t>informatīvo</w:t>
      </w:r>
      <w:r w:rsidRPr="009D4ADF">
        <w:rPr>
          <w:rFonts w:eastAsia="Times New Roman"/>
          <w:szCs w:val="24"/>
          <w:lang w:eastAsia="zh-CN"/>
        </w:rPr>
        <w:t xml:space="preserve"> </w:t>
      </w:r>
      <w:r w:rsidR="00BD5A79">
        <w:rPr>
          <w:rFonts w:eastAsia="Times New Roman"/>
          <w:szCs w:val="24"/>
          <w:lang w:eastAsia="zh-CN"/>
        </w:rPr>
        <w:t>ziņojumu</w:t>
      </w:r>
      <w:r w:rsidRPr="009D4ADF">
        <w:rPr>
          <w:rFonts w:eastAsia="Times New Roman"/>
          <w:szCs w:val="24"/>
          <w:lang w:eastAsia="zh-CN"/>
        </w:rPr>
        <w:t xml:space="preserve"> "Par absolventu monitoringa sistēmas izveidi profesionālajā izglītībā" </w:t>
      </w:r>
      <w:r w:rsidR="00BD5A79">
        <w:rPr>
          <w:rFonts w:eastAsia="Times New Roman"/>
          <w:szCs w:val="24"/>
          <w:lang w:eastAsia="zh-CN"/>
        </w:rPr>
        <w:br/>
      </w:r>
      <w:r w:rsidRPr="009D4ADF">
        <w:rPr>
          <w:rFonts w:eastAsia="Times New Roman"/>
          <w:bCs/>
          <w:iCs/>
          <w:szCs w:val="24"/>
          <w:lang w:eastAsia="zh-CN"/>
        </w:rPr>
        <w:t>(turpmāk</w:t>
      </w:r>
      <w:r w:rsidRPr="009D4ADF">
        <w:rPr>
          <w:rFonts w:eastAsia="Arial Unicode MS"/>
          <w:szCs w:val="24"/>
          <w:lang w:eastAsia="lv-LV"/>
        </w:rPr>
        <w:t xml:space="preserve"> </w:t>
      </w:r>
      <w:r w:rsidRPr="009D4ADF">
        <w:rPr>
          <w:rFonts w:eastAsia="Times New Roman"/>
          <w:bCs/>
          <w:iCs/>
          <w:szCs w:val="24"/>
          <w:lang w:eastAsia="zh-CN"/>
        </w:rPr>
        <w:t>– informatīvais ziņojums), Ministru kabineta sēdes protokollēmuma projektu "</w:t>
      </w:r>
      <w:r w:rsidRPr="009D4ADF">
        <w:rPr>
          <w:szCs w:val="24"/>
        </w:rPr>
        <w:t xml:space="preserve">Informatīvais ziņojums </w:t>
      </w:r>
      <w:r w:rsidRPr="009D4ADF">
        <w:rPr>
          <w:rFonts w:eastAsia="Times New Roman"/>
          <w:bCs/>
          <w:iCs/>
          <w:szCs w:val="24"/>
          <w:lang w:eastAsia="zh-CN"/>
        </w:rPr>
        <w:t>"</w:t>
      </w:r>
      <w:r w:rsidRPr="009D4ADF">
        <w:rPr>
          <w:szCs w:val="24"/>
        </w:rPr>
        <w:t>Par absolventu monitoringa sistēmas izveidi profesionālajā izglītībā</w:t>
      </w:r>
      <w:r w:rsidRPr="009D4ADF">
        <w:rPr>
          <w:rFonts w:eastAsia="Times New Roman"/>
          <w:bCs/>
          <w:iCs/>
          <w:szCs w:val="24"/>
          <w:lang w:eastAsia="zh-CN"/>
        </w:rPr>
        <w:t>""</w:t>
      </w:r>
      <w:r w:rsidR="00F1399D">
        <w:rPr>
          <w:rFonts w:eastAsia="Times New Roman"/>
          <w:bCs/>
          <w:iCs/>
          <w:szCs w:val="24"/>
          <w:lang w:eastAsia="zh-CN"/>
        </w:rPr>
        <w:t xml:space="preserve"> (turpmāk – protokollēmuma projekts)</w:t>
      </w:r>
      <w:r>
        <w:rPr>
          <w:rFonts w:eastAsia="Times New Roman"/>
          <w:bCs/>
          <w:iCs/>
          <w:szCs w:val="24"/>
          <w:lang w:eastAsia="zh-CN"/>
        </w:rPr>
        <w:t xml:space="preserve"> </w:t>
      </w:r>
      <w:r w:rsidRPr="00455BF4">
        <w:rPr>
          <w:rFonts w:eastAsia="Times New Roman"/>
          <w:bCs/>
          <w:szCs w:val="24"/>
          <w:lang w:eastAsia="zh-CN"/>
        </w:rPr>
        <w:t>un</w:t>
      </w:r>
      <w:r w:rsidRPr="006B7116">
        <w:rPr>
          <w:rFonts w:eastAsia="Times New Roman"/>
          <w:b/>
          <w:szCs w:val="24"/>
          <w:lang w:eastAsia="zh-CN"/>
        </w:rPr>
        <w:t xml:space="preserve"> </w:t>
      </w:r>
      <w:r w:rsidRPr="006B7116">
        <w:rPr>
          <w:rFonts w:eastAsia="Times New Roman"/>
          <w:b/>
          <w:bCs/>
          <w:szCs w:val="24"/>
          <w:lang w:eastAsia="zh-CN"/>
        </w:rPr>
        <w:t>atbalsta</w:t>
      </w:r>
      <w:r w:rsidRPr="006B7116">
        <w:rPr>
          <w:rFonts w:eastAsia="Times New Roman"/>
          <w:bCs/>
          <w:szCs w:val="24"/>
          <w:lang w:eastAsia="zh-CN"/>
        </w:rPr>
        <w:t xml:space="preserve"> </w:t>
      </w:r>
      <w:r>
        <w:rPr>
          <w:rFonts w:eastAsia="Times New Roman"/>
          <w:bCs/>
          <w:szCs w:val="24"/>
          <w:lang w:eastAsia="zh-CN"/>
        </w:rPr>
        <w:t>informatīvā ziņojuma tālāku virzību</w:t>
      </w:r>
      <w:r w:rsidR="00B8416B">
        <w:rPr>
          <w:rFonts w:eastAsia="Times New Roman"/>
          <w:bCs/>
          <w:szCs w:val="24"/>
          <w:lang w:eastAsia="zh-CN"/>
        </w:rPr>
        <w:t>,  vienlaikus izsakot šādus iebildumus:</w:t>
      </w:r>
    </w:p>
    <w:p w:rsidRPr="00B8416B" w:rsidR="00B8416B" w:rsidP="00B8416B" w:rsidRDefault="00B8416B" w14:paraId="5C3960A2" w14:textId="77777777">
      <w:pPr>
        <w:pStyle w:val="ListParagraph"/>
        <w:numPr>
          <w:ilvl w:val="0"/>
          <w:numId w:val="12"/>
        </w:numPr>
        <w:tabs>
          <w:tab w:val="left" w:pos="1134"/>
        </w:tabs>
        <w:spacing w:after="120"/>
        <w:ind w:left="0" w:firstLine="851"/>
      </w:pPr>
      <w:r>
        <w:t xml:space="preserve">Likumprojekta </w:t>
      </w:r>
      <w:r w:rsidRPr="009D4ADF">
        <w:rPr>
          <w:rFonts w:eastAsia="Times New Roman"/>
          <w:szCs w:val="24"/>
          <w:lang w:eastAsia="zh-CN"/>
        </w:rPr>
        <w:t>"</w:t>
      </w:r>
      <w:r>
        <w:rPr>
          <w:rFonts w:eastAsia="Times New Roman"/>
          <w:szCs w:val="24"/>
          <w:lang w:eastAsia="zh-CN"/>
        </w:rPr>
        <w:t>Grozījumi Profesionālās izglītības likumā</w:t>
      </w:r>
      <w:r w:rsidRPr="009D4ADF">
        <w:rPr>
          <w:rFonts w:eastAsia="Times New Roman"/>
          <w:szCs w:val="24"/>
          <w:lang w:eastAsia="zh-CN"/>
        </w:rPr>
        <w:t>"</w:t>
      </w:r>
      <w:r>
        <w:rPr>
          <w:rFonts w:eastAsia="Times New Roman"/>
          <w:szCs w:val="24"/>
          <w:lang w:eastAsia="zh-CN"/>
        </w:rPr>
        <w:t xml:space="preserve"> 33. pants paredz, ka</w:t>
      </w:r>
      <w:r>
        <w:rPr>
          <w:color w:val="000000"/>
          <w:shd w:val="clear" w:color="auto" w:fill="FFFFFF"/>
        </w:rPr>
        <w:t> likuma 29.</w:t>
      </w:r>
      <w:r>
        <w:rPr>
          <w:color w:val="000000"/>
          <w:shd w:val="clear" w:color="auto" w:fill="FFFFFF"/>
          <w:vertAlign w:val="superscript"/>
        </w:rPr>
        <w:t>2</w:t>
      </w:r>
      <w:r>
        <w:rPr>
          <w:color w:val="000000"/>
          <w:shd w:val="clear" w:color="auto" w:fill="FFFFFF"/>
        </w:rPr>
        <w:t> pants par profesionālās izglītības programmu  absolventu monitoringa datu apstrādi piemērojams no 2023. gada 1. janvāra. Ņemot vērā minēto, lūdzam izvērtēt, vai informatīvā ziņojuma 2. pielikumā paredzētie termiņi atbilst likumprojektā paredzētajam (piemēram, ka dati tiek publicēti jau 2022. gadā).</w:t>
      </w:r>
    </w:p>
    <w:p w:rsidR="00B8416B" w:rsidP="00B8416B" w:rsidRDefault="00B8416B" w14:paraId="6322BECE" w14:textId="3E5252A7">
      <w:pPr>
        <w:pStyle w:val="ListParagraph"/>
        <w:numPr>
          <w:ilvl w:val="0"/>
          <w:numId w:val="12"/>
        </w:numPr>
        <w:tabs>
          <w:tab w:val="left" w:pos="1134"/>
        </w:tabs>
        <w:spacing w:after="120"/>
        <w:ind w:left="0" w:firstLine="851"/>
      </w:pPr>
      <w:r>
        <w:t>Informatīvā ziņojuma</w:t>
      </w:r>
      <w:r w:rsidRPr="008A239A">
        <w:t xml:space="preserve"> </w:t>
      </w:r>
      <w:r>
        <w:t>1. nodaļā ir sniegta informācija, ka tā mērķis ir</w:t>
      </w:r>
      <w:r w:rsidRPr="008A239A">
        <w:t xml:space="preserve"> </w:t>
      </w:r>
      <w:r>
        <w:t xml:space="preserve">izstrādāt </w:t>
      </w:r>
      <w:r w:rsidRPr="00E91346">
        <w:rPr>
          <w:u w:val="single"/>
        </w:rPr>
        <w:t>konceptuālu ietvaru</w:t>
      </w:r>
      <w:r>
        <w:t xml:space="preserve"> absolventu monitoringa ieviešanai</w:t>
      </w:r>
      <w:r w:rsidRPr="0017245F">
        <w:t xml:space="preserve"> profesionālajā izglītībā</w:t>
      </w:r>
      <w:r>
        <w:t>. Vēršam uzmanību, ka konceptuālu lēmumu pieņemšanai tiek izstrādāts politikas plānošanas dokuments – konceptuālais ziņoju</w:t>
      </w:r>
      <w:r w:rsidR="00DB201F">
        <w:t>ms. Ņemot vērā minēto, lūdzam</w:t>
      </w:r>
      <w:r>
        <w:t xml:space="preserve"> precizēt vai nu 1. nodaļā ietverto informāciju, vai izvērtēt i</w:t>
      </w:r>
      <w:r w:rsidR="00B20F2F">
        <w:t>nforma</w:t>
      </w:r>
      <w:r w:rsidR="00DB201F">
        <w:t>tīvā ziņojuma pārstrādāšanu par</w:t>
      </w:r>
      <w:r>
        <w:t xml:space="preserve"> konceptuālo ziņojumu.</w:t>
      </w:r>
    </w:p>
    <w:p w:rsidRPr="00B8416B" w:rsidR="00DB201F" w:rsidP="00DB201F" w:rsidRDefault="00DB201F" w14:paraId="507D5A83" w14:textId="4C4BA4BF">
      <w:pPr>
        <w:pStyle w:val="ListParagraph"/>
        <w:numPr>
          <w:ilvl w:val="0"/>
          <w:numId w:val="12"/>
        </w:numPr>
        <w:tabs>
          <w:tab w:val="left" w:pos="1134"/>
        </w:tabs>
        <w:ind w:left="0" w:firstLine="851"/>
        <w:rPr>
          <w:szCs w:val="24"/>
        </w:rPr>
      </w:pPr>
      <w:r w:rsidRPr="00E91346">
        <w:rPr>
          <w:szCs w:val="24"/>
        </w:rPr>
        <w:t>Informatīvā ziņojuma 2.2. apa</w:t>
      </w:r>
      <w:r w:rsidR="00B20F2F">
        <w:rPr>
          <w:szCs w:val="24"/>
        </w:rPr>
        <w:t>k</w:t>
      </w:r>
      <w:r w:rsidRPr="00E91346">
        <w:rPr>
          <w:szCs w:val="24"/>
        </w:rPr>
        <w:t xml:space="preserve">šnodaļā ir sniegta informācija, ka, lai </w:t>
      </w:r>
      <w:r>
        <w:t>izsekotu to izglītojamo vai absolventu turpmākajā</w:t>
      </w:r>
      <w:r w:rsidR="00B20F2F">
        <w:t>m</w:t>
      </w:r>
      <w:r>
        <w:t xml:space="preserve"> gaitām, kuri emigrējuši uz citām valstīm, svarīga ir pārrobežu sadarbība un attiecīgo mehānismu iestrādāšana absolventu monitoringa sistēmās, kas ļautu izsekot mobilitātes gadījumiem. </w:t>
      </w:r>
    </w:p>
    <w:p w:rsidR="00DB201F" w:rsidP="00DB201F" w:rsidRDefault="00DB201F" w14:paraId="74062569" w14:textId="10364AC1">
      <w:pPr>
        <w:tabs>
          <w:tab w:val="left" w:pos="851"/>
        </w:tabs>
        <w:rPr>
          <w:szCs w:val="24"/>
        </w:rPr>
      </w:pPr>
      <w:r>
        <w:rPr>
          <w:szCs w:val="24"/>
        </w:rPr>
        <w:tab/>
        <w:t xml:space="preserve">Tāpat ir </w:t>
      </w:r>
      <w:r w:rsidR="00B20F2F">
        <w:rPr>
          <w:szCs w:val="24"/>
        </w:rPr>
        <w:t>atspoguļota</w:t>
      </w:r>
      <w:r>
        <w:rPr>
          <w:szCs w:val="24"/>
        </w:rPr>
        <w:t xml:space="preserve"> informācija, ka </w:t>
      </w:r>
      <w:r w:rsidRPr="00E83D4B">
        <w:t xml:space="preserve">sniegtās rekomendācijas neierobežo </w:t>
      </w:r>
      <w:r>
        <w:rPr>
          <w:szCs w:val="24"/>
        </w:rPr>
        <w:t xml:space="preserve">Eiropas Savienības </w:t>
      </w:r>
      <w:r>
        <w:t>dalībvalstis</w:t>
      </w:r>
      <w:r w:rsidRPr="00E83D4B">
        <w:t xml:space="preserve"> nacionālā līmenī attīstīt absolventu monitoringa sistēmas, ņemot vērā katras valsts izglītības sistēmu, atšķirīgās iezīmes tajā, jau izveidotās absolventu monitoringa sistēmas ietvaru utt., </w:t>
      </w:r>
      <w:r w:rsidRPr="00B8416B">
        <w:rPr>
          <w:u w:val="single"/>
        </w:rPr>
        <w:t>vienlaikus rekomendācijas uzsver valstu starpā salīdzināmu datu nozīmi un vienotu pieeju izmantošanu absolventu sistēmu izveidē</w:t>
      </w:r>
      <w:r w:rsidRPr="00E83D4B">
        <w:t>.</w:t>
      </w:r>
    </w:p>
    <w:p w:rsidR="00DB201F" w:rsidP="00DB201F" w:rsidRDefault="00DB201F" w14:paraId="2AD61479" w14:textId="77777777">
      <w:pPr>
        <w:tabs>
          <w:tab w:val="left" w:pos="851"/>
        </w:tabs>
        <w:rPr>
          <w:szCs w:val="24"/>
        </w:rPr>
      </w:pPr>
      <w:r>
        <w:rPr>
          <w:szCs w:val="24"/>
        </w:rPr>
        <w:tab/>
        <w:t>Vēršam uzmanību, ka informatīvajā ziņojumā nav sniegta informācija, kā Latvija izpildīs minētās rekomendācijas. Lūdzam precizēt informatīvo ziņojumu.</w:t>
      </w:r>
    </w:p>
    <w:p w:rsidRPr="00385A2A" w:rsidR="00B8416B" w:rsidP="00B8416B" w:rsidRDefault="00B8416B" w14:paraId="5D9E46BF" w14:textId="2CA9617C">
      <w:pPr>
        <w:pStyle w:val="ListParagraph"/>
        <w:numPr>
          <w:ilvl w:val="0"/>
          <w:numId w:val="12"/>
        </w:numPr>
        <w:tabs>
          <w:tab w:val="left" w:pos="1134"/>
        </w:tabs>
        <w:spacing w:after="120"/>
        <w:ind w:left="0" w:firstLine="851"/>
      </w:pPr>
      <w:r>
        <w:t>Informatīvā ziņojuma 4.3. apakšnodaļā ir sniegta informācija, ka vienlaikus ir j</w:t>
      </w:r>
      <w:r w:rsidRPr="008C7723">
        <w:t>āturpina darbs pie esošo datu kvalitātes uzlabošanas, tāpat ir jāizstrādā metodolo</w:t>
      </w:r>
      <w:r>
        <w:t>ģija nepi</w:t>
      </w:r>
      <w:r w:rsidR="00DB201F">
        <w:t>eciešamo datu ieguvei. Lūdzam</w:t>
      </w:r>
      <w:r>
        <w:t xml:space="preserve"> sniegt informāciju, kas izstrādās attiecīgo </w:t>
      </w:r>
      <w:r w:rsidRPr="008C7723">
        <w:t>metodolo</w:t>
      </w:r>
      <w:r>
        <w:t>ģiju, jo tas nav minēts arī informatīvā ziņojuma 2. pielikumā.</w:t>
      </w:r>
      <w:r w:rsidR="00DB201F">
        <w:t xml:space="preserve"> Vēršam uzmanību, ka minētais ir būtiski normatīvo aktu grozīšanas gadījumā</w:t>
      </w:r>
      <w:r w:rsidR="00B20F2F">
        <w:t xml:space="preserve"> (minētais paredzēts informatīvajā ziņojumā), kā arī izvērtēšanai</w:t>
      </w:r>
      <w:r w:rsidR="00DB201F">
        <w:t xml:space="preserve">, vai minētais </w:t>
      </w:r>
      <w:r w:rsidR="00DB201F">
        <w:lastRenderedPageBreak/>
        <w:t xml:space="preserve">atbilst </w:t>
      </w:r>
      <w:r w:rsidRPr="000F6F46" w:rsidR="00DB201F">
        <w:rPr>
          <w:rFonts w:eastAsia="Times New Roman"/>
          <w:bCs/>
          <w:iCs/>
        </w:rPr>
        <w:t>Eiropas Parlamenta un Pado</w:t>
      </w:r>
      <w:r w:rsidR="00DB201F">
        <w:rPr>
          <w:rFonts w:eastAsia="Times New Roman"/>
          <w:bCs/>
          <w:iCs/>
        </w:rPr>
        <w:t>mes 2016. gada 27. aprīļa Regulas</w:t>
      </w:r>
      <w:r w:rsidRPr="000F6F46" w:rsidR="00DB201F">
        <w:rPr>
          <w:rFonts w:eastAsia="Times New Roman"/>
          <w:bCs/>
          <w:iCs/>
        </w:rPr>
        <w:t xml:space="preserve"> (ES) 2016/679 par fizisku personu aizsardzību attiecībā uz personas datu apstrādi un šādu datu brīvu apriti un ar ko atceļ Direktīvu 95/46/EK (Vispārīgā datu aizsardzības regula)</w:t>
      </w:r>
      <w:r w:rsidR="00DB201F">
        <w:rPr>
          <w:rFonts w:eastAsia="Times New Roman"/>
          <w:bCs/>
          <w:iCs/>
        </w:rPr>
        <w:t xml:space="preserve"> prasībām.</w:t>
      </w:r>
    </w:p>
    <w:p w:rsidRPr="00E91346" w:rsidR="00B8416B" w:rsidP="00B8416B" w:rsidRDefault="00B8416B" w14:paraId="0E90E4EE" w14:textId="2A2C7056">
      <w:pPr>
        <w:pStyle w:val="ListParagraph"/>
        <w:numPr>
          <w:ilvl w:val="0"/>
          <w:numId w:val="12"/>
        </w:numPr>
        <w:tabs>
          <w:tab w:val="left" w:pos="1134"/>
        </w:tabs>
        <w:ind w:left="0" w:firstLine="851"/>
        <w:rPr>
          <w:szCs w:val="24"/>
        </w:rPr>
      </w:pPr>
      <w:r>
        <w:rPr>
          <w:rFonts w:eastAsia="Times New Roman"/>
          <w:szCs w:val="24"/>
          <w:lang w:eastAsia="zh-CN"/>
        </w:rPr>
        <w:t xml:space="preserve">Lūdzam </w:t>
      </w:r>
      <w:r w:rsidRPr="00385A2A">
        <w:rPr>
          <w:rFonts w:eastAsia="Times New Roman"/>
          <w:szCs w:val="24"/>
          <w:lang w:eastAsia="zh-CN"/>
        </w:rPr>
        <w:t>precizēt informatīvā ziņojuma 4. un 11. atsauci, jo tajā ietvertā tīmekļa vietne nedarbojas. Savukārt informatīvā ziņojuma 3. un 12. atsaucē minētais dokuments nav piee</w:t>
      </w:r>
      <w:r w:rsidR="00DB201F">
        <w:rPr>
          <w:rFonts w:eastAsia="Times New Roman"/>
          <w:szCs w:val="24"/>
          <w:lang w:eastAsia="zh-CN"/>
        </w:rPr>
        <w:t>jams attiecīgajā tīmekļa vietnē, līdz ar to nav iespējams pilnvērtīgi izvērtēt informatīvajā ziņojumā atspoguļotos pasākumus monitoringa sistēmas ieviešanai.</w:t>
      </w:r>
    </w:p>
    <w:p w:rsidRPr="00E91346" w:rsidR="00DB201F" w:rsidP="00DB201F" w:rsidRDefault="00DB201F" w14:paraId="2B7E4839" w14:textId="43D5AF75">
      <w:pPr>
        <w:pStyle w:val="ListParagraph"/>
        <w:numPr>
          <w:ilvl w:val="0"/>
          <w:numId w:val="12"/>
        </w:numPr>
        <w:tabs>
          <w:tab w:val="left" w:pos="1134"/>
        </w:tabs>
        <w:ind w:left="0" w:firstLine="851"/>
        <w:rPr>
          <w:szCs w:val="24"/>
        </w:rPr>
      </w:pPr>
      <w:r>
        <w:t xml:space="preserve">Informatīvā ziņojumā ir sniegta informācija, ka Eiropas Komisijas ekspertu darba grupa ir izstrādājusi vadlīnijas profesionālās izglītības absolventu monitoringa sistēmu izveidei. Lūdzam informatīvajā ziņojumā </w:t>
      </w:r>
      <w:r w:rsidR="003F085B">
        <w:t>ietvert norādi</w:t>
      </w:r>
      <w:r>
        <w:t>, kur ar šādām vadlīnijām var iepazīties.</w:t>
      </w:r>
    </w:p>
    <w:p w:rsidRPr="00E91346" w:rsidR="00B8416B" w:rsidP="00DB201F" w:rsidRDefault="00B8416B" w14:paraId="203D0783" w14:textId="77777777">
      <w:pPr>
        <w:pStyle w:val="ListParagraph"/>
        <w:tabs>
          <w:tab w:val="left" w:pos="1134"/>
        </w:tabs>
        <w:spacing w:after="120"/>
        <w:ind w:left="851"/>
      </w:pPr>
      <w:bookmarkStart w:name="_GoBack" w:id="0"/>
      <w:bookmarkEnd w:id="0"/>
    </w:p>
    <w:p w:rsidRPr="00DB201F" w:rsidR="00F1399D" w:rsidP="001A6FCE" w:rsidRDefault="00DB201F" w14:paraId="6FD7749E" w14:textId="47C2CB70">
      <w:pPr>
        <w:ind w:firstLine="851"/>
        <w:rPr>
          <w:szCs w:val="24"/>
        </w:rPr>
      </w:pPr>
      <w:r>
        <w:rPr>
          <w:rFonts w:eastAsia="Times New Roman"/>
          <w:bCs/>
          <w:szCs w:val="24"/>
          <w:lang w:eastAsia="zh-CN"/>
        </w:rPr>
        <w:t>Vienlaikus izsakām</w:t>
      </w:r>
      <w:r w:rsidR="001A6FCE">
        <w:rPr>
          <w:rFonts w:eastAsia="Times New Roman"/>
          <w:bCs/>
          <w:szCs w:val="24"/>
          <w:lang w:eastAsia="zh-CN"/>
        </w:rPr>
        <w:t xml:space="preserve"> </w:t>
      </w:r>
      <w:r w:rsidR="009D4ADF">
        <w:rPr>
          <w:rFonts w:eastAsia="Times New Roman"/>
          <w:bCs/>
          <w:szCs w:val="24"/>
          <w:lang w:eastAsia="zh-CN"/>
        </w:rPr>
        <w:t>priekšlikumu</w:t>
      </w:r>
      <w:r w:rsidR="001A6FCE">
        <w:rPr>
          <w:rFonts w:eastAsia="Times New Roman"/>
          <w:bCs/>
          <w:szCs w:val="24"/>
          <w:lang w:eastAsia="zh-CN"/>
        </w:rPr>
        <w:t xml:space="preserve"> </w:t>
      </w:r>
      <w:r w:rsidRPr="00DB201F" w:rsidR="00F1399D">
        <w:rPr>
          <w:rFonts w:eastAsia="Times New Roman"/>
          <w:szCs w:val="24"/>
          <w:lang w:eastAsia="zh-CN"/>
        </w:rPr>
        <w:t>precizēt protokollēmuma projekta punktu numerāciju, jo tā nav pareiza.</w:t>
      </w:r>
    </w:p>
    <w:p w:rsidRPr="00B20F2F" w:rsidR="00203A2E" w:rsidP="009700ED" w:rsidRDefault="00203A2E" w14:paraId="26F2F266" w14:textId="77777777">
      <w:pPr>
        <w:ind w:firstLine="720"/>
        <w:rPr>
          <w:noProof/>
          <w:szCs w:val="24"/>
        </w:rPr>
      </w:pPr>
    </w:p>
    <w:p w:rsidRPr="00B20F2F" w:rsidR="00F1399D" w:rsidP="009700ED" w:rsidRDefault="00B20F2F" w14:paraId="6FD91DBE" w14:textId="15E689EB">
      <w:pPr>
        <w:ind w:firstLine="720"/>
        <w:rPr>
          <w:noProof/>
          <w:szCs w:val="24"/>
        </w:rPr>
      </w:pPr>
      <w:r w:rsidRPr="00B20F2F">
        <w:rPr>
          <w:noProof/>
          <w:szCs w:val="24"/>
        </w:rPr>
        <w:t xml:space="preserve">Papildus, ņemot vērā, ka informatīvajā ziņojumā paredzētais būtiski skars </w:t>
      </w:r>
      <w:r w:rsidRPr="00B20F2F">
        <w:rPr>
          <w:szCs w:val="24"/>
          <w:shd w:val="clear" w:color="auto" w:fill="FFFFFF"/>
        </w:rPr>
        <w:t>fiziskās personas datu</w:t>
      </w:r>
      <w:r>
        <w:rPr>
          <w:szCs w:val="24"/>
          <w:shd w:val="clear" w:color="auto" w:fill="FFFFFF"/>
        </w:rPr>
        <w:t>s, aic</w:t>
      </w:r>
      <w:r w:rsidRPr="00B20F2F">
        <w:rPr>
          <w:szCs w:val="24"/>
          <w:shd w:val="clear" w:color="auto" w:fill="FFFFFF"/>
        </w:rPr>
        <w:t xml:space="preserve">inām Izglītības un zinātnes ministriju nepieciešamības gadījumā savlaicīgi konsultēties ar Datu valsts inspekciju saistībā ar </w:t>
      </w:r>
      <w:r w:rsidRPr="00B20F2F">
        <w:rPr>
          <w:szCs w:val="24"/>
        </w:rPr>
        <w:t>absolventu monitoringa sistēmas izveidi profesionālajā izglītībā.</w:t>
      </w:r>
    </w:p>
    <w:p w:rsidR="00E91346" w:rsidP="009700ED" w:rsidRDefault="00E91346" w14:paraId="5605595F" w14:textId="77777777">
      <w:pPr>
        <w:ind w:firstLine="720"/>
        <w:rPr>
          <w:noProof/>
          <w:szCs w:val="24"/>
        </w:rPr>
      </w:pPr>
    </w:p>
    <w:p w:rsidRPr="00863B82" w:rsidR="009D4ADF" w:rsidP="009D4ADF" w:rsidRDefault="009D4ADF" w14:paraId="0B7D7841" w14:textId="77777777">
      <w:pPr>
        <w:tabs>
          <w:tab w:val="left" w:pos="993"/>
          <w:tab w:val="center" w:pos="4677"/>
        </w:tabs>
        <w:suppressAutoHyphens/>
        <w:contextualSpacing/>
        <w:rPr>
          <w:rFonts w:eastAsia="Times New Roman"/>
          <w:szCs w:val="24"/>
          <w:lang w:eastAsia="zh-CN"/>
        </w:rPr>
      </w:pPr>
      <w:r w:rsidRPr="00863B82">
        <w:rPr>
          <w:rFonts w:eastAsia="Times New Roman"/>
          <w:szCs w:val="24"/>
          <w:lang w:eastAsia="zh-CN"/>
        </w:rPr>
        <w:t>Valsts sekretāra vietniece</w:t>
      </w:r>
    </w:p>
    <w:p w:rsidRPr="00863B82" w:rsidR="009D4ADF" w:rsidP="009D4ADF" w:rsidRDefault="009D4ADF" w14:paraId="677B1BE5" w14:textId="77777777">
      <w:pPr>
        <w:tabs>
          <w:tab w:val="left" w:pos="993"/>
          <w:tab w:val="left" w:pos="7938"/>
        </w:tabs>
        <w:suppressAutoHyphens/>
        <w:contextualSpacing/>
        <w:rPr>
          <w:rFonts w:eastAsia="Times New Roman"/>
          <w:szCs w:val="24"/>
          <w:lang w:eastAsia="zh-CN"/>
        </w:rPr>
      </w:pPr>
      <w:r w:rsidRPr="00863B82">
        <w:rPr>
          <w:rFonts w:eastAsia="Times New Roman"/>
          <w:szCs w:val="24"/>
          <w:lang w:eastAsia="zh-CN"/>
        </w:rPr>
        <w:t xml:space="preserve">tiesību politikas jautājumos </w:t>
      </w:r>
      <w:r w:rsidRPr="00863B82">
        <w:rPr>
          <w:rFonts w:eastAsia="Times New Roman"/>
          <w:szCs w:val="24"/>
          <w:lang w:eastAsia="zh-CN"/>
        </w:rPr>
        <w:tab/>
        <w:t>L. Medina</w:t>
      </w:r>
    </w:p>
    <w:p w:rsidR="009D4ADF" w:rsidP="009D4ADF" w:rsidRDefault="009D4ADF" w14:paraId="78EA0890" w14:textId="77777777">
      <w:pPr>
        <w:suppressAutoHyphens/>
        <w:rPr>
          <w:rFonts w:eastAsia="Times New Roman"/>
          <w:szCs w:val="24"/>
          <w:lang w:eastAsia="zh-CN"/>
        </w:rPr>
      </w:pPr>
    </w:p>
    <w:p w:rsidRPr="00863B82" w:rsidR="009D4ADF" w:rsidP="009D4ADF" w:rsidRDefault="009D4ADF" w14:paraId="45577D7D" w14:textId="77777777">
      <w:pPr>
        <w:suppressAutoHyphens/>
        <w:rPr>
          <w:rFonts w:eastAsia="Times New Roman"/>
          <w:szCs w:val="24"/>
          <w:lang w:eastAsia="zh-CN"/>
        </w:rPr>
      </w:pPr>
    </w:p>
    <w:p w:rsidRPr="00E07581" w:rsidR="009D4ADF" w:rsidP="009D4ADF" w:rsidRDefault="009D4ADF" w14:paraId="487603F2" w14:textId="77777777">
      <w:pPr>
        <w:suppressAutoHyphens/>
        <w:rPr>
          <w:rFonts w:eastAsia="Times New Roman"/>
          <w:sz w:val="22"/>
          <w:lang w:eastAsia="zh-CN"/>
        </w:rPr>
      </w:pPr>
      <w:r w:rsidRPr="00E07581">
        <w:rPr>
          <w:rFonts w:eastAsia="Times New Roman"/>
          <w:sz w:val="22"/>
          <w:lang w:eastAsia="zh-CN"/>
        </w:rPr>
        <w:t>Ē.Inkina</w:t>
      </w:r>
    </w:p>
    <w:p w:rsidRPr="00E07581" w:rsidR="009D4ADF" w:rsidP="009D4ADF" w:rsidRDefault="009D4ADF" w14:paraId="72822517" w14:textId="77777777">
      <w:pPr>
        <w:suppressAutoHyphens/>
        <w:rPr>
          <w:rFonts w:eastAsia="Times New Roman"/>
          <w:sz w:val="22"/>
          <w:lang w:eastAsia="zh-CN"/>
        </w:rPr>
      </w:pPr>
      <w:r w:rsidRPr="00E07581">
        <w:rPr>
          <w:rFonts w:eastAsia="Times New Roman"/>
          <w:sz w:val="22"/>
          <w:lang w:eastAsia="zh-CN"/>
        </w:rPr>
        <w:t>Tieslietu ministrijas</w:t>
      </w:r>
    </w:p>
    <w:p w:rsidRPr="00E07581" w:rsidR="009D4ADF" w:rsidP="009D4ADF" w:rsidRDefault="009D4ADF" w14:paraId="05D5DCD1" w14:textId="77777777">
      <w:pPr>
        <w:suppressAutoHyphens/>
        <w:rPr>
          <w:rFonts w:eastAsia="Times New Roman"/>
          <w:sz w:val="22"/>
          <w:lang w:eastAsia="zh-CN"/>
        </w:rPr>
      </w:pPr>
      <w:r w:rsidRPr="00E07581">
        <w:rPr>
          <w:rFonts w:eastAsia="Times New Roman"/>
          <w:sz w:val="22"/>
          <w:lang w:eastAsia="zh-CN"/>
        </w:rPr>
        <w:t>Normatīvo aktu kvalitātes nodrošināšanas</w:t>
      </w:r>
    </w:p>
    <w:p w:rsidRPr="00E07581" w:rsidR="009D4ADF" w:rsidP="009D4ADF" w:rsidRDefault="009D4ADF" w14:paraId="78850255" w14:textId="77777777">
      <w:pPr>
        <w:suppressAutoHyphens/>
        <w:rPr>
          <w:rFonts w:eastAsia="Times New Roman"/>
          <w:sz w:val="22"/>
          <w:lang w:eastAsia="zh-CN"/>
        </w:rPr>
      </w:pPr>
      <w:r w:rsidRPr="00E07581">
        <w:rPr>
          <w:rFonts w:eastAsia="Times New Roman"/>
          <w:sz w:val="22"/>
          <w:lang w:eastAsia="zh-CN"/>
        </w:rPr>
        <w:t>departamenta juriste</w:t>
      </w:r>
    </w:p>
    <w:p w:rsidRPr="00E07581" w:rsidR="009D4ADF" w:rsidP="009D4ADF" w:rsidRDefault="009D4ADF" w14:paraId="21B770DD" w14:textId="77777777">
      <w:pPr>
        <w:suppressAutoHyphens/>
        <w:rPr>
          <w:sz w:val="22"/>
        </w:rPr>
      </w:pPr>
      <w:r w:rsidRPr="00E07581">
        <w:rPr>
          <w:rFonts w:eastAsia="Times New Roman"/>
          <w:sz w:val="22"/>
          <w:lang w:eastAsia="zh-CN"/>
        </w:rPr>
        <w:t xml:space="preserve">67036969, </w:t>
      </w:r>
      <w:hyperlink w:history="1" r:id="rId8">
        <w:r w:rsidRPr="00E07581">
          <w:rPr>
            <w:rFonts w:eastAsia="Times New Roman"/>
            <w:sz w:val="22"/>
            <w:lang w:eastAsia="zh-CN"/>
          </w:rPr>
          <w:t>erika.inkina@tm.gov.lv</w:t>
        </w:r>
      </w:hyperlink>
    </w:p>
    <w:p w:rsidR="009D4ADF" w:rsidP="009D4ADF" w:rsidRDefault="009D4ADF" w14:paraId="15719D0A" w14:textId="77777777"/>
    <w:p w:rsidR="009D4F70" w:rsidP="009D4ADF" w:rsidRDefault="009D4F70" w14:paraId="43339D6C" w14:textId="77777777">
      <w:pPr>
        <w:tabs>
          <w:tab w:val="left" w:pos="993"/>
          <w:tab w:val="center" w:pos="4677"/>
        </w:tabs>
        <w:suppressAutoHyphens/>
        <w:contextualSpacing/>
      </w:pPr>
    </w:p>
    <w:sectPr w:rsidR="009D4F70" w:rsidSect="00A34AC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28482" w16cex:dateUtc="2021-02-01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B38CA1" w16cid:durableId="23C284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90395" w14:textId="77777777" w:rsidR="00541892" w:rsidRDefault="00541892">
      <w:r>
        <w:separator/>
      </w:r>
    </w:p>
  </w:endnote>
  <w:endnote w:type="continuationSeparator" w:id="0">
    <w:p w14:paraId="598ABD66" w14:textId="77777777" w:rsidR="00541892" w:rsidRDefault="00541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8A50B" w14:textId="77777777" w:rsidR="00B20F2F" w:rsidRPr="009D4ADF" w:rsidRDefault="00B20F2F" w:rsidP="00B20F2F">
    <w:pPr>
      <w:ind w:right="12"/>
      <w:rPr>
        <w:sz w:val="20"/>
        <w:szCs w:val="20"/>
      </w:rPr>
    </w:pPr>
    <w:r>
      <w:rPr>
        <w:sz w:val="20"/>
        <w:szCs w:val="20"/>
      </w:rPr>
      <w:t>TMAtz_280121_IZM_VSS-29</w:t>
    </w:r>
  </w:p>
  <w:p w14:paraId="31BDC7BD" w14:textId="77777777" w:rsidR="00B20F2F" w:rsidRDefault="00B20F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EB652" w14:textId="77777777" w:rsidR="00E34F1A" w:rsidRDefault="00E34F1A" w:rsidP="009D4ADF">
    <w:pPr>
      <w:ind w:right="12"/>
      <w:rPr>
        <w:sz w:val="20"/>
        <w:szCs w:val="20"/>
      </w:rPr>
    </w:pPr>
  </w:p>
  <w:p w14:paraId="5D4391D5" w14:textId="0E15247C" w:rsidR="009D4ADF" w:rsidRDefault="009D4ADF" w:rsidP="00E34F1A">
    <w:pPr>
      <w:ind w:right="12"/>
    </w:pPr>
    <w:r>
      <w:rPr>
        <w:sz w:val="20"/>
        <w:szCs w:val="20"/>
      </w:rPr>
      <w:t>TMAtz_280121_IZM_VSS-29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F10F5" w14:textId="77777777" w:rsidR="00541892" w:rsidRDefault="00541892">
      <w:r>
        <w:separator/>
      </w:r>
    </w:p>
  </w:footnote>
  <w:footnote w:type="continuationSeparator" w:id="0">
    <w:p w14:paraId="723BF960" w14:textId="77777777" w:rsidR="00541892" w:rsidRDefault="00541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rsidR="007B3740" w:rsidRDefault="007B3740" w14:paraId="0A5A58F8" w14:textId="77777777">
        <w:pPr>
          <w:pStyle w:val="Header"/>
          <w:jc w:val="center"/>
        </w:pPr>
        <w:r>
          <w:fldChar w:fldCharType="begin"/>
        </w:r>
        <w:r>
          <w:instrText>PAGE   \* MERGEFORMAT</w:instrText>
        </w:r>
        <w:r>
          <w:fldChar w:fldCharType="separate"/>
        </w:r>
        <w:r w:rsidR="00A81F24">
          <w:rPr>
            <w:noProof/>
          </w:rPr>
          <w:t>2</w:t>
        </w:r>
        <w:r>
          <w:fldChar w:fldCharType="end"/>
        </w:r>
      </w:p>
    </w:sdtContent>
  </w:sdt>
  <w:p w:rsidR="006C6018" w:rsidRDefault="006C6018" w14:paraId="0A5A58F9"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ACB" w:rsidP="00A34ACB" w:rsidRDefault="00A34ACB" w14:paraId="0A5A58FA" w14:textId="77777777">
    <w:pPr>
      <w:pStyle w:val="Header"/>
    </w:pPr>
  </w:p>
  <w:p w:rsidR="00A34ACB" w:rsidP="00A34ACB" w:rsidRDefault="00E40434" w14:paraId="0A5A58FB" w14:textId="77777777">
    <w:pPr>
      <w:pStyle w:val="Header"/>
    </w:pPr>
    <w:r>
      <w:rPr>
        <w:noProof/>
        <w:lang w:eastAsia="lv-LV"/>
      </w:rPr>
      <w:drawing>
        <wp:anchor distT="0" distB="0" distL="114300" distR="114300" simplePos="0" relativeHeight="251660800"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0A5A58FC" w14:textId="77777777">
    <w:pPr>
      <w:pStyle w:val="Header"/>
    </w:pPr>
  </w:p>
  <w:p w:rsidR="00A34ACB" w:rsidP="00A34ACB" w:rsidRDefault="00A34ACB" w14:paraId="0A5A58FD" w14:textId="77777777">
    <w:pPr>
      <w:pStyle w:val="Header"/>
    </w:pPr>
  </w:p>
  <w:p w:rsidR="00A34ACB" w:rsidP="00A34ACB" w:rsidRDefault="00A34ACB" w14:paraId="0A5A58FE" w14:textId="77777777">
    <w:pPr>
      <w:pStyle w:val="Header"/>
    </w:pPr>
  </w:p>
  <w:p w:rsidR="00A34ACB" w:rsidP="00A34ACB" w:rsidRDefault="00A34ACB" w14:paraId="0A5A58FF" w14:textId="77777777">
    <w:pPr>
      <w:pStyle w:val="Header"/>
    </w:pPr>
  </w:p>
  <w:p w:rsidR="00A34ACB" w:rsidP="00A34ACB" w:rsidRDefault="00A34ACB" w14:paraId="0A5A5900" w14:textId="77777777">
    <w:pPr>
      <w:pStyle w:val="Header"/>
    </w:pPr>
  </w:p>
  <w:p w:rsidR="00A34ACB" w:rsidP="00A34ACB" w:rsidRDefault="00A34ACB" w14:paraId="0A5A5901" w14:textId="77777777">
    <w:pPr>
      <w:pStyle w:val="Header"/>
    </w:pPr>
  </w:p>
  <w:p w:rsidR="00A34ACB" w:rsidP="00A34ACB" w:rsidRDefault="00A34ACB" w14:paraId="0A5A5902" w14:textId="77777777">
    <w:pPr>
      <w:pStyle w:val="Header"/>
    </w:pPr>
  </w:p>
  <w:p w:rsidR="00A34ACB" w:rsidP="00A34ACB" w:rsidRDefault="00A34ACB" w14:paraId="0A5A5903" w14:textId="77777777">
    <w:pPr>
      <w:pStyle w:val="Header"/>
    </w:pPr>
  </w:p>
  <w:p w:rsidRPr="00815277" w:rsidR="00A34ACB" w:rsidP="00A34ACB" w:rsidRDefault="00E40434" w14:paraId="0A5A5904" w14:textId="77777777">
    <w:pPr>
      <w:pStyle w:val="Header"/>
    </w:pPr>
    <w:r>
      <w:rPr>
        <w:noProof/>
        <w:lang w:eastAsia="lv-LV"/>
      </w:rPr>
      <mc:AlternateContent>
        <mc:Choice Requires="wps">
          <w:drawing>
            <wp:anchor distT="0" distB="0" distL="114300" distR="114300" simplePos="0" relativeHeight="251658752"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520D69D5">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txcQA&#10;AADaAAAADwAAAGRycy9kb3ducmV2LnhtbESPQWvCQBSE74L/YXmFXqRubFFqdBWRFlpvxkLx9sw+&#10;k9Ds27i7jWl/vSsIHoeZ+YaZLztTi5acrywrGA0TEMS51RUXCr5270+vIHxA1lhbJgV/5GG56Pfm&#10;mGp75i21WShEhLBPUUEZQpNK6fOSDPqhbYijd7TOYIjSFVI7PEe4qeVzkkykwYrjQokNrUvKf7Jf&#10;o2CTvEzH34eRnGZycNLus92//bdKPT50qxmIQF24h2/tD61gDNcr8Qb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0LcXEAAAA2gAAAA8AAAAAAAAAAAAAAAAAmAIAAGRycy9k&#10;b3ducmV2LnhtbFBLBQYAAAAABAAEAPUAAACJAwAAAAA=&#10;">
                <v:path arrowok="t" o:connecttype="custom" o:connectlocs="0,0;6926,0" o:connectangles="0,0"/>
              </v:shape>
              <w10:wrap anchorx="page" anchory="page"/>
            </v:group>
          </w:pict>
        </mc:Fallback>
      </mc:AlternateContent>
    </w:r>
  </w:p>
  <w:p w:rsidRPr="00C836FF" w:rsidR="00AB4E8A" w:rsidP="00AB4E8A" w:rsidRDefault="00AB4E8A" w14:paraId="0A5A5905" w14:textId="77777777">
    <w:pPr>
      <w:jc w:val="center"/>
      <w:rPr>
        <w:szCs w:val="24"/>
      </w:rPr>
    </w:pPr>
    <w:r w:rsidRPr="00C836FF">
      <w:rPr>
        <w:szCs w:val="24"/>
      </w:rPr>
      <w:t>Rīgā</w:t>
    </w:r>
  </w:p>
  <w:p w:rsidRPr="00C836FF" w:rsidR="00AB4E8A" w:rsidP="00AB4E8A" w:rsidRDefault="00AB4E8A" w14:paraId="0A5A5906" w14:textId="77777777">
    <w:pPr>
      <w:jc w:val="center"/>
      <w:rPr>
        <w:szCs w:val="24"/>
      </w:rPr>
    </w:pPr>
  </w:p>
  <w:tbl>
    <w:tblPr>
      <w:tblStyle w:val="TableGrid"/>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0A5A590A" w14:textId="77777777">
      <w:tc>
        <w:tcPr>
          <w:tcW w:w="1810" w:type="dxa"/>
        </w:tcPr>
        <w:p w:rsidR="00E11DA3" w:rsidP="00E11DA3" w:rsidRDefault="00E11DA3" w14:paraId="0A5A5907" w14:textId="77777777">
          <w:pPr>
            <w:pStyle w:val="Header"/>
            <w:jc w:val="center"/>
            <w:rPr>
              <w:szCs w:val="24"/>
            </w:rPr>
          </w:pPr>
          <w:r>
            <w:t>01.02.2021</w:t>
          </w:r>
          <w:bookmarkEnd w:id="1"/>
        </w:p>
      </w:tc>
      <w:tc>
        <w:tcPr>
          <w:tcW w:w="420" w:type="dxa"/>
          <w:tcBorders>
            <w:bottom w:val="nil"/>
          </w:tcBorders>
        </w:tcPr>
        <w:p w:rsidR="00E11DA3" w:rsidP="00E11DA3" w:rsidRDefault="00E11DA3" w14:paraId="0A5A5908" w14:textId="77777777">
          <w:pPr>
            <w:pStyle w:val="Header"/>
            <w:rPr>
              <w:szCs w:val="24"/>
            </w:rPr>
          </w:pPr>
          <w:r>
            <w:rPr>
              <w:szCs w:val="24"/>
            </w:rPr>
            <w:t xml:space="preserve"> Nr.</w:t>
          </w:r>
        </w:p>
      </w:tc>
      <w:tc>
        <w:tcPr>
          <w:tcW w:w="1890" w:type="dxa"/>
        </w:tcPr>
        <w:p w:rsidR="00E11DA3" w:rsidP="00E11DA3" w:rsidRDefault="00E11DA3" w14:paraId="0A5A5909" w14:textId="77777777">
          <w:pPr>
            <w:pStyle w:val="Header"/>
            <w:jc w:val="center"/>
            <w:rPr>
              <w:szCs w:val="24"/>
            </w:rPr>
          </w:pPr>
          <w:r>
            <w:t>1-9.1/98</w:t>
          </w:r>
          <w:bookmarkEnd w:id="2"/>
        </w:p>
      </w:tc>
    </w:tr>
  </w:tbl>
  <w:p w:rsidRPr="00C836FF" w:rsidR="00AB4E8A" w:rsidP="00E11DA3" w:rsidRDefault="00AB4E8A" w14:paraId="0A5A590B" w14:textId="77777777">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EEB0AE0"/>
    <w:multiLevelType w:val="hybridMultilevel"/>
    <w:tmpl w:val="E2E87A78"/>
    <w:lvl w:ilvl="0" w:tplc="150238AE">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2014D"/>
    <w:rsid w:val="00030349"/>
    <w:rsid w:val="00091ABD"/>
    <w:rsid w:val="000E7F03"/>
    <w:rsid w:val="00124173"/>
    <w:rsid w:val="001538FB"/>
    <w:rsid w:val="00181C8D"/>
    <w:rsid w:val="00185E61"/>
    <w:rsid w:val="001A6FCE"/>
    <w:rsid w:val="00203A2E"/>
    <w:rsid w:val="00264A30"/>
    <w:rsid w:val="00275B9E"/>
    <w:rsid w:val="00293830"/>
    <w:rsid w:val="002B3077"/>
    <w:rsid w:val="002E1474"/>
    <w:rsid w:val="00335032"/>
    <w:rsid w:val="00385A2A"/>
    <w:rsid w:val="00394BA7"/>
    <w:rsid w:val="003F085B"/>
    <w:rsid w:val="00441F52"/>
    <w:rsid w:val="00480C28"/>
    <w:rsid w:val="00493308"/>
    <w:rsid w:val="00535564"/>
    <w:rsid w:val="00541892"/>
    <w:rsid w:val="00554B0A"/>
    <w:rsid w:val="00575A66"/>
    <w:rsid w:val="005A7C18"/>
    <w:rsid w:val="005E672B"/>
    <w:rsid w:val="00663C3A"/>
    <w:rsid w:val="006C0EC7"/>
    <w:rsid w:val="006C1639"/>
    <w:rsid w:val="006C6018"/>
    <w:rsid w:val="00724680"/>
    <w:rsid w:val="00726E06"/>
    <w:rsid w:val="00746495"/>
    <w:rsid w:val="00747CCB"/>
    <w:rsid w:val="007564DD"/>
    <w:rsid w:val="00756583"/>
    <w:rsid w:val="007704BD"/>
    <w:rsid w:val="007B3740"/>
    <w:rsid w:val="007B3BA5"/>
    <w:rsid w:val="007B48EC"/>
    <w:rsid w:val="007E0D0E"/>
    <w:rsid w:val="007E4D1F"/>
    <w:rsid w:val="00815277"/>
    <w:rsid w:val="00816499"/>
    <w:rsid w:val="00830970"/>
    <w:rsid w:val="0087450D"/>
    <w:rsid w:val="00876C21"/>
    <w:rsid w:val="008823E3"/>
    <w:rsid w:val="00883533"/>
    <w:rsid w:val="008A679D"/>
    <w:rsid w:val="008E3CED"/>
    <w:rsid w:val="00922095"/>
    <w:rsid w:val="00944BB8"/>
    <w:rsid w:val="00954D5A"/>
    <w:rsid w:val="0096342D"/>
    <w:rsid w:val="009700ED"/>
    <w:rsid w:val="009D4ADF"/>
    <w:rsid w:val="009D4F70"/>
    <w:rsid w:val="009D6B6A"/>
    <w:rsid w:val="00A11C20"/>
    <w:rsid w:val="00A32E6D"/>
    <w:rsid w:val="00A34ACB"/>
    <w:rsid w:val="00A81F24"/>
    <w:rsid w:val="00AB4E8A"/>
    <w:rsid w:val="00AC1E11"/>
    <w:rsid w:val="00AC270F"/>
    <w:rsid w:val="00AF10A5"/>
    <w:rsid w:val="00B20F2F"/>
    <w:rsid w:val="00B410DE"/>
    <w:rsid w:val="00B8416B"/>
    <w:rsid w:val="00BB087F"/>
    <w:rsid w:val="00BD5A79"/>
    <w:rsid w:val="00C04896"/>
    <w:rsid w:val="00C215CD"/>
    <w:rsid w:val="00C255D9"/>
    <w:rsid w:val="00C47F57"/>
    <w:rsid w:val="00C61686"/>
    <w:rsid w:val="00C836FF"/>
    <w:rsid w:val="00CF0967"/>
    <w:rsid w:val="00D21FA6"/>
    <w:rsid w:val="00D55B4B"/>
    <w:rsid w:val="00D947E6"/>
    <w:rsid w:val="00DB201F"/>
    <w:rsid w:val="00DF7177"/>
    <w:rsid w:val="00E11DA3"/>
    <w:rsid w:val="00E34F1A"/>
    <w:rsid w:val="00E365CE"/>
    <w:rsid w:val="00E40434"/>
    <w:rsid w:val="00E44743"/>
    <w:rsid w:val="00E86106"/>
    <w:rsid w:val="00E91346"/>
    <w:rsid w:val="00EC3533"/>
    <w:rsid w:val="00F1399D"/>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
    <w:name w:val="tv213"/>
    <w:basedOn w:val="Normal"/>
    <w:rsid w:val="00A11C20"/>
    <w:pPr>
      <w:widowControl/>
      <w:spacing w:before="100" w:beforeAutospacing="1" w:after="100" w:afterAutospacing="1"/>
      <w:jc w:val="left"/>
    </w:pPr>
    <w:rPr>
      <w:rFonts w:eastAsia="Times New Roman"/>
      <w:szCs w:val="24"/>
      <w:lang w:eastAsia="lv-LV"/>
    </w:rPr>
  </w:style>
  <w:style w:type="paragraph" w:styleId="ListParagraph">
    <w:name w:val="List Paragraph"/>
    <w:basedOn w:val="Normal"/>
    <w:uiPriority w:val="34"/>
    <w:qFormat/>
    <w:rsid w:val="00385A2A"/>
    <w:pPr>
      <w:ind w:left="720"/>
      <w:contextualSpacing/>
    </w:pPr>
  </w:style>
  <w:style w:type="character" w:styleId="CommentReference">
    <w:name w:val="annotation reference"/>
    <w:basedOn w:val="DefaultParagraphFont"/>
    <w:uiPriority w:val="99"/>
    <w:semiHidden/>
    <w:unhideWhenUsed/>
    <w:rsid w:val="00264A30"/>
    <w:rPr>
      <w:sz w:val="16"/>
      <w:szCs w:val="16"/>
    </w:rPr>
  </w:style>
  <w:style w:type="paragraph" w:styleId="CommentText">
    <w:name w:val="annotation text"/>
    <w:basedOn w:val="Normal"/>
    <w:link w:val="CommentTextChar"/>
    <w:uiPriority w:val="99"/>
    <w:unhideWhenUsed/>
    <w:rsid w:val="00264A30"/>
    <w:rPr>
      <w:sz w:val="20"/>
      <w:szCs w:val="20"/>
    </w:rPr>
  </w:style>
  <w:style w:type="character" w:customStyle="1" w:styleId="CommentTextChar">
    <w:name w:val="Comment Text Char"/>
    <w:basedOn w:val="DefaultParagraphFont"/>
    <w:link w:val="CommentText"/>
    <w:uiPriority w:val="99"/>
    <w:rsid w:val="00264A30"/>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64A30"/>
    <w:rPr>
      <w:b/>
      <w:bCs/>
    </w:rPr>
  </w:style>
  <w:style w:type="character" w:customStyle="1" w:styleId="CommentSubjectChar">
    <w:name w:val="Comment Subject Char"/>
    <w:basedOn w:val="CommentTextChar"/>
    <w:link w:val="CommentSubject"/>
    <w:uiPriority w:val="99"/>
    <w:semiHidden/>
    <w:rsid w:val="00264A30"/>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02578">
      <w:bodyDiv w:val="1"/>
      <w:marLeft w:val="0"/>
      <w:marRight w:val="0"/>
      <w:marTop w:val="0"/>
      <w:marBottom w:val="0"/>
      <w:divBdr>
        <w:top w:val="none" w:sz="0" w:space="0" w:color="auto"/>
        <w:left w:val="none" w:sz="0" w:space="0" w:color="auto"/>
        <w:bottom w:val="none" w:sz="0" w:space="0" w:color="auto"/>
        <w:right w:val="none" w:sz="0" w:space="0" w:color="auto"/>
      </w:divBdr>
    </w:div>
    <w:div w:id="1080297923">
      <w:bodyDiv w:val="1"/>
      <w:marLeft w:val="0"/>
      <w:marRight w:val="0"/>
      <w:marTop w:val="0"/>
      <w:marBottom w:val="0"/>
      <w:divBdr>
        <w:top w:val="none" w:sz="0" w:space="0" w:color="auto"/>
        <w:left w:val="none" w:sz="0" w:space="0" w:color="auto"/>
        <w:bottom w:val="none" w:sz="0" w:space="0" w:color="auto"/>
        <w:right w:val="none" w:sz="0" w:space="0" w:color="auto"/>
      </w:divBdr>
    </w:div>
    <w:div w:id="1975524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rika.inkina@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C9388-BC19-4638-9470-D2C192C6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2756</Words>
  <Characters>1571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 "Par absolventu monitoringa sistēmas izveidi profesionālajā izglītībā"</vt:lpstr>
      <vt:lpstr/>
    </vt:vector>
  </TitlesOfParts>
  <Company>Tieslietu ministrija</Company>
  <LinksUpToDate>false</LinksUpToDate>
  <CharactersWithSpaces>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absolventu monitoringa sistēmas izveidi profesionālajā izglītībā"</dc:title>
  <dc:creator>Ērika Inkina</dc:creator>
  <cp:keywords>Atzinums</cp:keywords>
  <dc:description>Ē.Inkina
Tieslietu ministrijas
Normatīvo aktu kvalitātes nodrošināšanas
departamenta juriste
67036969, erika.inkina@tm.gov.lv</dc:description>
  <cp:lastModifiedBy>Erika</cp:lastModifiedBy>
  <cp:revision>3</cp:revision>
  <cp:lastPrinted>2015-01-09T08:13:00Z</cp:lastPrinted>
  <dcterms:created xsi:type="dcterms:W3CDTF">2021-02-01T11:47:00Z</dcterms:created>
  <dcterms:modified xsi:type="dcterms:W3CDTF">2021-02-01T11:49:00Z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