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24-TA-1914: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16. jūlija noteikumos Nr. 485 "Parāda atgūšanas pakalpojuma sniedzēju licencēšanas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50.punktā (noteikumu projekta 22.punkts) tiek noteikts - "</w:t>
            </w:r>
            <w:r w:rsidR="00000000" w:rsidRPr="00000000" w:rsidDel="00000000">
              <w:rPr>
                <w:i w:val="1"/>
                <w:rtl w:val="0"/>
              </w:rPr>
              <w:t xml:space="preserve">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w:t>
            </w:r>
            <w:r w:rsidR="00000000" w:rsidRPr="00000000" w:rsidDel="00000000">
              <w:rPr>
                <w:b w:val="1"/>
                <w:i w:val="1"/>
                <w:rtl w:val="0"/>
              </w:rPr>
              <w:t xml:space="preserve">saskaņā ar likumā "Par nodokļiem un nodevām" noteikto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kurā likuma "Par nodokļiem un nodevām" pantā ir noteikta augstāk minētā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anotācijā, norādot atsauci uz likuma "Par nodokļiem un nodevām" 28.</w:t>
            </w:r>
            <w:r w:rsidR="00000000" w:rsidRPr="00000000" w:rsidDel="00000000">
              <w:rPr>
                <w:vertAlign w:val="superscript"/>
                <w:rtl w:val="0"/>
              </w:rPr>
              <w:t xml:space="preserve">2</w:t>
            </w:r>
            <w:r w:rsidR="00000000" w:rsidRPr="00000000" w:rsidDel="00000000">
              <w:rPr>
                <w:rtl w:val="0"/>
              </w:rPr>
              <w:t xml:space="preserve">. panta pirmo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piemēru, kā tiktu aprēķināts valsts nodevas par parāda atgūšanas pakalpojumu sniedzēja darbības uzraudzību apmērs proporcionāli dienu skaitam saskaņā ar Noslēguma jautājumu 53.punktu.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 ar skaidrojumu aprēķinam.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prasības, kādām jāatbilst parāda atgūšanas pakalpojuma sniedzējam, lai saņemtu speciālo atļauju (licenci), kā arī kārtību, kādā izsniedz, izmanto, aptur un anulē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 apakšpunktā ietverto Noteikumu 1.2. apakšpunktu atbilstoši Parādu ārpustiesas atgūšanas likuma 5. panta ceturtajā daļā Ministru kabinetam dotajam pilnvarojumam, precīzi pārrakstot pilnvarojumu, ievērojot Ministru kabineta 2009. gada 3. februāra noteikumu Nr. 108 "Normatīvo aktu projektu sagatavošanas noteikumi" 100. punktā noteikto. Vienlaikus norādām uz to, ka projekta 1.1. apakšpunktā ietvertais Noteikumu 1.2. apakšpunkts daļā par prasību noteikšanu dublē Noteikumu 1.1. apakšpunktu, kas ir noformulēts atbilstoši Parādu ārpustiesas atgūšanas likuma 5. panta ceturtajā daļā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precizēts, pārrakstot pilnvarojumu no Parādu ārpustiesas atgūšanas likuma 5.panta ceturtās daļas.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speciālās atļaujas (licences) izsniegšanas, izmantošanas un darbības apturēšanas un anulēšanas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parāda atgūšanas pakalpojuma sniedzējs maksā valsts nodevu par speciālās atļaujas (licences) izsniegšanu, kā arī valsts nodevas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1.2. apakšpunktā ietverto Noteikumu 1.3. apakšpunktu atbilstoši Parādu ārpustiesas atgūšanas likuma 5. panta piektajā daļā Ministru kabinetam dotajam pilnvarojumam, precīzi pārrakstot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precizēts, pārrakstot pilnvarojumu no Parādu ārpustiesas atgūšanas likuma 5.panta piektās daļas.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nodevas apmēru un maksāšanas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maksājama valsts nodeva par speciālās atļaujas (licences) izsniegšanu un ikgadējā valsts nodeva par parāda atgūšanas pakalpojuma sniedzēja darbības uzraudzību, kā arī valsts nodevas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2024. gada 16. jūlija noteikumos Nr. 485 "Parāda atgūšanas pakalpojuma sniedzēju licencēšanas kārtība"" (turpmāk – projekts) 2. punktā ietverto Ministru kabineta 2024. gada 16. jūlija noteikumu Nr. 485 "Parāda atgūšanas pakalpojuma sniedzēju licencēšanas kārtība" (turpmāk – Noteikumi) 1.3. apakšpunktu atbilstoši Parādu ārpustiesas atgūšanas likuma 5. panta piektajā daļā Ministru kabinetam dotajam pilnvarojumam, precīzi pārrakstot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noteikumu 1.3.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nodevas apmēru un maksāšanas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to, ka parāda atgūšanas pakalpojuma sniedzējs savā darbībā ievēro Eiropas Banku iestādes Pamatnostādnes par kredītu apkalpotāju valsts sarakstu vai reģistru izveidi un uzturēšanu saskaņā ar Eiropas Parlamenta un Padomes 2021. gada 24. novembra Direktīvu (ES) 2021/2167 par kredītu apkalpotājiem un kredītu pircējiem un ar ko groza Direktīvas 2008/48/EK un 2014/17/ES  (EBA/GL/2024/02, 2024. gada 5. marts).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projekta 1.8. un 1.11. apakšpunktā svītrot atsauces uz Eiropas Banku iestādes Pamatnostādnēm. Un atkārtoti vēršam uzmanību uz to, ka projektā nedrīkst atsaukties un uzlikt par pienākumu indivīdam ievērot juridiski nesaistošus dokumentus. Ja nepieciešams kādas prasības attiecināt uz privātpersonām, tās ir ietveramas ārējā normatīvajā aktā. Turklāt norādām, ka nav pieļaujams tiesību subjektam uzlikt par saistošām normas, ja tās nav publicētas un tulkotas latviešu valodā. Alternatīvi lūdzam anotācijā ietvert juridiski pamatotu skaidrojumu par minēto dokumentu juridiski saistošo raksturu, tostarp, attiecībā uz privātpersonām (parāda atgūšanas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4. punktā ietverts šāds skaidrojums: "</w:t>
            </w:r>
            <w:r w:rsidR="00000000" w:rsidRPr="00000000" w:rsidDel="00000000">
              <w:rPr>
                <w:i w:val="1"/>
                <w:rtl w:val="0"/>
              </w:rPr>
              <w:t xml:space="preserve">Eiropas Banku iestādes pamatnostādnes ir izdotas saskaņā ar Eiropas Parlamenta un Padomes 2010. gada 24. novembra Regulas (ES) Nr.1093/2010, ar ko izveido Eiropas Uzraudzības iestādi (Eiropas Banku iestādi), groza Lēmumu Nr. 716/2009/EK un atceļ Komisijas Lēmumu 2009/78/EK (turpmāk - Regula) 16. pantu. Kompetentajām iestādēm saskaņā ar Regulas 16. panta 3. punktu jādara viss iespējamais, lai ievērotu šīs pamatnostādnes. Kompetentajām iestādēm, uz kurām šīs pamatnostādnes attiecas, tās ir jāiekļauj praksē (piemēram, veicot grozījumus savā tiesiskajā regulējumā vai savos uzraudzības procesos), tostarp arī gadījumos, kad pamatnostādnes ir paredzētas galvenokārt iestādēm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2010. gada 24. novembra Regulas (ES) Nr. 1093/2010, ar ko izveido Eiropas Uzraudzības iestādi (Eiropas Banku iestādi), groza Lēmumu Nr. 716/2009/EK un atceļ Komisijas Lēmumu 2009/78/EK (turpmāk - Regula Nr. 1093/2010) 16. panta 1. punkts noteic: "</w:t>
            </w:r>
            <w:r w:rsidR="00000000" w:rsidRPr="00000000" w:rsidDel="00000000">
              <w:rPr>
                <w:i w:val="1"/>
                <w:rtl w:val="0"/>
              </w:rPr>
              <w:t xml:space="preserve">Lai EFUS ieviestu konsekventu, efektīvu un konstruktīvu uzraudzības praksi un nodrošinātu vispārēju, vienveidīgu un konsekventu Savienības tiesību aktu piemērošanu, iestāde izdod </w:t>
            </w:r>
            <w:r w:rsidR="00000000" w:rsidRPr="00000000" w:rsidDel="00000000">
              <w:rPr>
                <w:i w:val="1"/>
                <w:u w:val="single"/>
                <w:rtl w:val="0"/>
              </w:rPr>
              <w:t xml:space="preserve">pamatnostādnes, kas adresētas visām kompetentajām iestādēm vai visām finanšu iestādēm</w:t>
            </w:r>
            <w:r w:rsidR="00000000" w:rsidRPr="00000000" w:rsidDel="00000000">
              <w:rPr>
                <w:i w:val="1"/>
                <w:rtl w:val="0"/>
              </w:rPr>
              <w:t xml:space="preserve"> un izdod ieteikumus vienai vai vairākām kompetentajām iestādēm vai vienai vai vairākām finanšu iestādēm. Pamatnostādnes un ieteikumi atbilst pilnvarām, kas piešķirtas 1. panta 2. punktā vai šajā pantā minētajos leģislatīvajos aktos.</w:t>
            </w:r>
            <w:r w:rsidR="00000000" w:rsidRPr="00000000" w:rsidDel="00000000">
              <w:rPr>
                <w:rtl w:val="0"/>
              </w:rPr>
              <w:t xml:space="preserve">" Savukārt 3. punkts paredz: "</w:t>
            </w:r>
            <w:r w:rsidR="00000000" w:rsidRPr="00000000" w:rsidDel="00000000">
              <w:rPr>
                <w:i w:val="1"/>
                <w:u w:val="single"/>
                <w:rtl w:val="0"/>
              </w:rPr>
              <w:t xml:space="preserve">Kompetentās iestādes un finanšu iestādes dara visu iespējamo, lai ievērotu šādas pamatnostādnes un ieteikumus</w:t>
            </w:r>
            <w:r w:rsidR="00000000" w:rsidRPr="00000000" w:rsidDel="00000000">
              <w:rPr>
                <w:i w:val="1"/>
                <w:rtl w:val="0"/>
              </w:rPr>
              <w:t xml:space="preserve">. Divu mēnešu laikā kopš pamatnostādņu vai ieteikumu izdošanas katra kompetentā iestāde </w:t>
            </w:r>
            <w:r w:rsidR="00000000" w:rsidRPr="00000000" w:rsidDel="00000000">
              <w:rPr>
                <w:i w:val="1"/>
                <w:u w:val="single"/>
                <w:rtl w:val="0"/>
              </w:rPr>
              <w:t xml:space="preserve">apstiprina, vai tā ievēro vai paredz ievērot</w:t>
            </w:r>
            <w:r w:rsidR="00000000" w:rsidRPr="00000000" w:rsidDel="00000000">
              <w:rPr>
                <w:i w:val="1"/>
                <w:rtl w:val="0"/>
              </w:rPr>
              <w:t xml:space="preserve"> šīs pamatnostādnes un ieteikumus. </w:t>
            </w:r>
            <w:r w:rsidR="00000000" w:rsidRPr="00000000" w:rsidDel="00000000">
              <w:rPr>
                <w:i w:val="1"/>
                <w:u w:val="single"/>
                <w:rtl w:val="0"/>
              </w:rPr>
              <w:t xml:space="preserve">Ja kompetentā iestāde neievēro vai neparedz ievērot</w:t>
            </w:r>
            <w:r w:rsidR="00000000" w:rsidRPr="00000000" w:rsidDel="00000000">
              <w:rPr>
                <w:i w:val="1"/>
                <w:rtl w:val="0"/>
              </w:rPr>
              <w:t xml:space="preserve"> attiecīgo pamatnostādni vai ieteikumu, </w:t>
            </w:r>
            <w:r w:rsidR="00000000" w:rsidRPr="00000000" w:rsidDel="00000000">
              <w:rPr>
                <w:i w:val="1"/>
                <w:u w:val="single"/>
                <w:rtl w:val="0"/>
              </w:rPr>
              <w:t xml:space="preserve">tā par to paziņo iestādei, minot iemeslus</w:t>
            </w:r>
            <w:r w:rsidR="00000000" w:rsidRPr="00000000" w:rsidDel="00000000">
              <w:rPr>
                <w:i w:val="1"/>
                <w:rtl w:val="0"/>
              </w:rPr>
              <w:t xml:space="preserve">.</w:t>
            </w:r>
            <w:r w:rsidR="00000000" w:rsidRPr="00000000" w:rsidDel="00000000">
              <w:rPr>
                <w:rtl w:val="0"/>
              </w:rPr>
              <w:t xml:space="preserve">" No minētā, pirmkārt, izriet, ka pamatnostādnes ir adresētam visām kompetentajām iestādēm vai visām finanšu iestādēm. No izziņā ietvertā skaidrojuma nav secināms, vai parādu atgūšanas pakalpojuma sniedzējs ir uzskatāms par kādu no minētajām iestādēm Regulas Nr. 1093/2010 izpratnē. Otrkārt, kaut arī Regulas Nr. 1093/2010 16. panta 3. punkts paredz, ka iestādes dara visu iespējamo, lai pamatnostādnes ievērotu, tas nenoteic, ka pamatnostādnes ir obligāti ievērojamas. Minētais arī izriet no pamatnostādņu juridiski nesaistošās dabas (proti, pamatnostādnes nav juridiski saistošas).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tiek svītrots 10.11.5. apakšpunkts, kurā ir ietverta atsauce uz Eiropas Banku iestādes Pamatnostādnēm.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to, ka parāda atgūšanas pakalpojuma sniedzējs savā darbībā ievēro Eiropas Banku iestādes Pamatnostādnes par kredītu apkalpotāju valsts sarakstu vai reģistru izveidi un uzturēšanu saskaņā ar Eiropas Parlamenta un Padomes 2021. gada 24. novembra Direktīvu (ES) 2021/2167 par kredītu apkalpotājiem un kredītu pircējiem un ar ko groza Direktīvas 2008/48/EK un 2014/17/ES  (EBA/GL/2024/02, 2024. gada 5. marts).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pašreiz spēkā esošo Noteikumu 10.11.5. apakšpunktā ir ietverta atsauce uz Eiropas Banku iestādes Pamatnostādnēm, tomēr lūdzam pamatot projekta 8. un 11. punktā minēto dokumentu juridiski saistošo raksturu, tostarp, attiecībā uz privātpersonām. Vēršam uzmanību uz to, ka projektā nedrīkst atsaukties un uzlikt par pienākumu indivīdam ievērot juridiski nesaistošus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Banku iestādes pamatnostādnes ir izdotas saskaņā ar Eiropas Parlamenta un Padomes 2010. gada 24. novembra Regulas (ES) Nr.1093/2010, ar ko izveido Eiropas Uzraudzības iestādi (Eiropas Banku iestādi), groza Lēmumu Nr. 716/2009/EK un atceļ Komisijas Lēmumu 2009/78/EK (turpmāk - Regula) 16. pantu. Kompetentajām iestādēm saskaņā ar Regulas 16. panta 3. punktu jādara viss iespējamais, lai ievērotu šīs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Kompetentajām iestādēm, uz kurām šīs pamatnostādnes attiecas, tās ir jāiekļauj praksē (piemēram, veicot grozījumus savā tiesiskajā regulējumā vai savos uzraudzības procesos), tostarp arī gadījumos, kad pamatnostādnes ir paredzētas galvenokārt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 Valsts ieņēmumu dienesta datubāzes – informāciju par parāda atgūšanas pakalpojuma sniedzēja nokavētajiem nodokļu, nodevu vai valsts noteiktajiem maksājumiem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punkta redakciju, jo Valsts ieņēmumu dienestam ir pieejama informācija tikai par tā administrētajiem nodokļiem un valsts nodevām. Tas nozīmē, ka Valsts ieņēmumu dienesta rīcībā nav informācijas par, piemēram, pašvaldību administrēto nekustamā īpašuma nodokli vai citu valsts nodevu administrāciju administrētajām valsts nodevām.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šī brīža redakcija ir ar plašu tvērumu, rodas priekšstats, ka ar šo noteikumu punktu tiek noteikts, ka no VID datu bāzes ir iegūstama plašāka informācija nekā tā vispār ir VID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16.1. apakšpunktā, nosakot, ka no Valsts ieņēmumu dienesta (VID) datubāzes tiek iegūta informācija tikai par VID administrētājiem nodokļiem (nodevām).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 Valsts ieņēmumu dienesta datubāzes – informāciju par parāda atgūšanas pakalpojuma sniedzēja nokavētajiem Valsts ieņēmumu dienesta administrētajiem nodokļu, nodevu vai valsts noteiktajiem maksājumiem valsts budžetā;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 Valsts ieņēmumu dienesta datubāzes – informāciju par parāda atgūšanas pakalpojuma sniedzēja nokavētajiem nodokļu, nodevu vai valsts noteiktajiem maksājumiem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16.1. apakšpunkta redakciju ievērojot, ka saskaņā ar likuma "Par nodokļiem un nodevām" 18.panta pirmās daļas 8.punktu Valsts ieņēmumu dienests nodrošina publiski pieeju informāciju tikai par tiem nodokļu maksātājiem, kuriem </w:t>
            </w:r>
            <w:r w:rsidR="00000000" w:rsidRPr="00000000" w:rsidDel="00000000">
              <w:rPr>
                <w:u w:val="single"/>
                <w:rtl w:val="0"/>
              </w:rPr>
              <w:t xml:space="preserve">Valsts ieņēmumu dienesta administrēto</w:t>
            </w:r>
            <w:r w:rsidR="00000000" w:rsidRPr="00000000" w:rsidDel="00000000">
              <w:rPr>
                <w:rtl w:val="0"/>
              </w:rPr>
              <w:t xml:space="preserve"> </w:t>
            </w:r>
            <w:r w:rsidR="00000000" w:rsidRPr="00000000" w:rsidDel="00000000">
              <w:rPr>
                <w:u w:val="single"/>
                <w:rtl w:val="0"/>
              </w:rPr>
              <w:t xml:space="preserve">nodokļu (nodevu) parāda kopsumma </w:t>
            </w:r>
            <w:r w:rsidR="00000000" w:rsidRPr="00000000" w:rsidDel="00000000">
              <w:rPr>
                <w:rtl w:val="0"/>
              </w:rPr>
              <w:t xml:space="preserve">pārsniedz 150 euro. Tādējādi no Valsts ieņēmumu dienesta administrēto nodokļu (nodevu) parādnieku datubāzes nevar iegūt informāciju par citiem nodokļu parādiem, ko neadministrē Valsts ieņēmumu dienests (piemēram, par nekustamā īpašuma nodokļa parādiem). Uzsveram, ka tā ir </w:t>
            </w:r>
            <w:r w:rsidR="00000000" w:rsidRPr="00000000" w:rsidDel="00000000">
              <w:rPr>
                <w:u w:val="single"/>
                <w:rtl w:val="0"/>
              </w:rPr>
              <w:t xml:space="preserve">Valsts ieņēmumu dienesta administrēto nodokļu (nodevu) parādnieku datubāze </w:t>
            </w:r>
            <w:r w:rsidR="00000000" w:rsidRPr="00000000" w:rsidDel="00000000">
              <w:rPr>
                <w:rtl w:val="0"/>
              </w:rPr>
              <w:t xml:space="preserve">un tajā nebūs informācija par nodokļu maksātājiem, kam Valsts ieņēmumu dienesta administrēto nodokļu (nodevu) parāds irmazāks par 150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PTAC ir plašākas tiesības pieprasīt visu nepieciešamo informāciju, lai pieņemtu lēmumu, tai skaitā ne tikai publiski pieejamo informāciju no datubāzēm, bet arī papildus ziņas par citiem ar parādiem vai nodevām saistīto informāciju, kas ir būtiska konkrētā lēmuma pieņemšanā (piemēram, atbilstoši šo Noteikumu 37.5. apakšpunktam, kurā noteikts, ka PTAC var apturēt speciālās atļaujas (licences) darbību uz laiku līdz sešiem mēnešiem, ja parāda atgūšanas pakalpojuma sniedzējam nokavēto nodokļu, nodevu vai citu valsts noteikto maksājumu summa ir lielāka par 1420 </w:t>
            </w:r>
            <w:r w:rsidR="00000000" w:rsidRPr="00000000" w:rsidDel="00000000">
              <w:rPr>
                <w:i w:val="1"/>
                <w:rtl w:val="0"/>
              </w:rPr>
              <w:t xml:space="preserve">euro,</w:t>
            </w:r>
            <w:r w:rsidR="00000000" w:rsidRPr="00000000" w:rsidDel="00000000">
              <w:rPr>
                <w:rtl w:val="0"/>
              </w:rPr>
              <w:t xml:space="preserve"> kas ietver ne tikai Valsts ieņēmumu dienesta administrēto nodokļu (nodevu) parādus, bet arī citus nodokļu, nodevu parādus, kas attiecas uz konkrēto pakalpojumu sniedzēju).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 Valsts ieņēmumu dienesta datubāzes – informāciju par parāda atgūšanas pakalpojuma sniedzēja nokavētajiem Valsts ieņēmumu dienesta administrētajiem nodokļu, nodevu vai valsts noteiktajiem maksājumiem valsts budžetā;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Valsts nodevu parāda atgūšanas pakalpojuma sniedzējs maksā ar tāda maksājumu pakalpojuma sniedzēja starpniecību, kuram ir tiesības sniegt maksājumu pakalpojumus Maksājumu pakalpojumu un elektroniskās naudas likuma izpratnē, norādot maksājuma mērķi – valsts nodeva par speciālās atļaujas (licences)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paredzētas 2 veidu valsts nodevas, proti: par speciālās atļaujas (licences) izsniegšanu un par parāda atgūšanas pakalpojuma sniedzēja darbības uzraudzību. No šī brīža noteikumu 48.punkta piedāvātās redakcijas jāsecina, ka, veicot maksājumu par valsts nodevu </w:t>
            </w:r>
            <w:r w:rsidR="00000000" w:rsidRPr="00000000" w:rsidDel="00000000">
              <w:rPr>
                <w:u w:val="single"/>
                <w:rtl w:val="0"/>
              </w:rPr>
              <w:t xml:space="preserve">par parāda atgūšanas pakalpojuma sniedzēja darbības uzraudzību,</w:t>
            </w:r>
            <w:r w:rsidR="00000000" w:rsidRPr="00000000" w:rsidDel="00000000">
              <w:rPr>
                <w:rtl w:val="0"/>
              </w:rPr>
              <w:t xml:space="preserve"> maksājuma mērķī jānorāda: </w:t>
            </w:r>
            <w:r w:rsidR="00000000" w:rsidRPr="00000000" w:rsidDel="00000000">
              <w:rPr>
                <w:u w:val="single"/>
                <w:rtl w:val="0"/>
              </w:rPr>
              <w:t xml:space="preserve">"valsts nodeva par speciālās atļaujas (licences) izsniegšanu", lai gan tas nav korekti.</w:t>
            </w:r>
            <w:r w:rsidR="00000000" w:rsidRPr="00000000" w:rsidDel="00000000">
              <w:rPr>
                <w:rtl w:val="0"/>
              </w:rPr>
              <w:t xml:space="preserve"> Lūdzu precizēt konkrēto punktu, lai nebūtu tāda situācija, ka noteikumi paredz maksājumu mērķi norādīt vienu valsts nodevu, lai gan tiek maksāta cita (ikgadējā) valsts nodeva.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48.punktā, ietverot atsauci arī uz ikgadējo valsts nodevu par darbības uzraudzību.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Valsts nodevu par speciālās atļaujas (licences) izsniegšanu un ikgadējo valsts nodevu par darbības uzraudzību parāda atgūšanas pakalpojuma sniedzējs maksā ar tāda maksājumu pakalpojuma sniedzēja starpniecību, kuram ir tiesības sniegt maksājumu pakalpojumus Maksājumu pakalpojumu un elektroniskās naudas likuma izpratnē, norādot maksājuma mērķi – valsts nodeva par speciālās atļaujas (licences) izsniegšanu vai ikgadējā valsts nodeva par darbības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saskaņā ar likumā "Par nodokļiem un nodevām"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1.22. apakšpunktu, svītrojot tajā atsauci uz likumu "Par nodokļiem un nodevām", ņemot vērā to, ka likuma "Par nodokļiem un nodevām" 28.</w:t>
            </w:r>
            <w:r w:rsidR="00000000" w:rsidRPr="00000000" w:rsidDel="00000000">
              <w:rPr>
                <w:vertAlign w:val="superscript"/>
                <w:rtl w:val="0"/>
              </w:rPr>
              <w:t xml:space="preserve">2</w:t>
            </w:r>
            <w:r w:rsidR="00000000" w:rsidRPr="00000000" w:rsidDel="00000000">
              <w:rPr>
                <w:rtl w:val="0"/>
              </w:rPr>
              <w:t xml:space="preserve"> panta pirmā daļa, kas minēta projekta sākotnējās ietekmes novērtējuma ziņojumā (turpmāk – anotācija) un izziņā, paredz pārmaksātās vai nepareizi iemaksātās valsts nodevas atmaksas kārtību. Savukārt projekta 1.22. apakšpunktā ietvertais Noteikumu 50. punkts paredz kārtību, kādā daļēji atmaksā valsts nodevu, ja personai tiek atteikts izsniegt speciālo atļauju (licenci). Vienlaikus lūdzam attiecīgi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punkta redakcijā, kā arī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tādā kārtībā, kāda noteikta likuma "Par nodokļiem un nodevām" attiecībā uz pārmaksātās vai nepareizi iemaksātās valsts nodevas summas atmaksu.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Parādu ārpustiesas atgūšanas likumā, ar kuriem tika izslēgta valsts nodeva par speciālās atļaujas (licences) pārreģistrāciju, stājās spēkā š.g. 12.jūlijā. Ņemot vērā, ka likuma grozījumos nav pārejas normas attiecībā uz minētajām izmaiņām, no grozījumu likumā spēkā stāšanās brīža šī valsts nodeva nebija iekasējama.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noslēguma jautājumus ar punktu, kas skaidrotu, kāda rīcība attiecināma speciālajām atļaujām (licencēm), kas tika pārreģistrētas pēc š.g. 12.jūlija līdz šo noteikumu spēkā stāšanās brīdim. Ja neviena licence šajā periodā nav tikusi pārreģistrēta, lūdzam to norādīt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veikti labojumi 51. un 54.punktā, nosakot vienādu kārtību visiem, nav nepieciešams veikt papildus labojumus noslēguma jautājumos vai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kas izsniegta vai pārreģistrēta līdz 2024. gada 1. oktobrim, ir spēkā līdz speciālajā atļaujā (licencē) norādītā termiņa beigām, ja vien netiek pieņemts lēmums par speciālās atļaujas (licences) anulēšanu vai darbības apturēšanu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jūnija likums "Grozījumi Parādu ārpustiesas atgūšanas likumā" (turpmāk – Grozījumu likums), kas stājās spēkā 2024. gada 12. jūlijā, izteica jaunā redakcijā Parādu ārpustiesas atgūšanas likuma 5. panta ceturto un piekto daļu, izslēdzot regulējumu par speciālās atļaujas (licences) pārreģistrāciju un nodevas samaksu par pārreģistrāciju. Grozījumu likums neparedzēja pārejas periodu attiecībā uz speciālo atļauju (licenču) pārreģistrāciju pēc Grozījumu likuma spēkā stāšanās. Vienlaikus no Grozījumu likuma izriet, ka speciālās atļaujas (licences) izsniedzamas uz nenoteiktu laiku. Arī attiecībā uz šo regulējumu, proti, rīcību ar jau izsniegtajām speciālajām atļaujām (licencēm), pārejas regulējums nav paredzēts. Attiecīgi secināms, ka Grozījumu likumā paredzētajam regulējumam bija tūlītējs spēks. Tādējādi kopš 2024. gada 12. jūlija, ievērojot Grozījumu likumā noteikto, nebija iespējams veikt speciālo atļauju (licenču) pārreģistrāciju un izsniegt speciālās atļaujas (licences) uz noteiktu laiku. Savukārt sākot ar 2024. gada 12. jūliju, ja persona iesniedza iesniegumu speciālās atļaujas (licences) saņemšanai vai līdz 2024. gada 12. jūlijam nebija pieņemts lēmums par speciālās atļaujas (licences) izsniegšanu vai pārreģistrāciju, tai bija jāizsniedz speciālā atļauja (licence) uz nenoteiktu laiku. Ievērojot minēto, vēršam uzmanību uz to, ka nav pamata kā atskaites punktu projekta 23. punktā ietvertajam regulējumam noteikt 2024. gada 1. oktobri. Attiecībā uz visām speciālajām atļaujām (licencēm), kuru darbības termiņš beidzas pēc 2024. gada 12. jūlija, nosakāma vienota kārtība, kādā tās izsniedzamas uz nenoteiktu laiku. Ievērojot minēto, lūdzam attiecīgi precizēt projekta 23. punktā ietverto Noteikumu 51., 52., 53. un 54.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51. un 54,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ir spēkā līdz speciālajā atļaujā (licencē) norādītā termiņa beigām, ja vien netiek pieņemts lēmums par speciālās atļaujas (licences) anulēšanu vai darbības apturēšanu saskaņā ar šiem noteikumiem.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kas izsniegta vai pārreģistrēta līdz 2024. gada 1. oktobrim, ir spēkā līdz speciālajā atļaujā (licencē) norādītā termiņa beigām, ja vien netiek pieņemts lēmums par speciālās atļaujas (licences) anulēšanu vai darbības apturēšanu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grozījumi Ministru kabineta 2024. gada 16. jūlija noteikumos Nr. 485 "Parāda atgūšanas pakalpojuma sniedzēju licencēšanas kārtība" stāsies spēkā vispārējā kārtībā. Ņemot vērā, ka ir jau novembris, tas nozīmē, ka jaunā likme valsts nodevai par speciālās atļaujas (licences) izsniegšanu un jaunā valsts nodeva par parāda atgūšanas pakalpojuma sniedzēja darbības uzraudzību būs spēkā ar ievērojamu laika intervālu no 1.oktobra.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nav tiesiskās noteiktības par speciālajām atļaujām (licencēm), kas tiks izsniegtas vai pārreģistrētas </w:t>
            </w:r>
            <w:r w:rsidR="00000000" w:rsidRPr="00000000" w:rsidDel="00000000">
              <w:rPr>
                <w:u w:val="single"/>
                <w:rtl w:val="0"/>
              </w:rPr>
              <w:t xml:space="preserve">no š.g. 1. oktobra līdz grozījumu noteikumos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ir vai nu precizējama 51.punkta redakcija, vai arī nosakāms spēkā stāšanās datums noteikumu grozījumiem kopumā vai konkrētiem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51. un 54,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ir spēkā līdz speciālajā atļaujā (licencē) norādītā termiņa beigām, ja vien netiek pieņemts lēmums par speciālās atļaujas (licences) anulēšanu vai darbības apturēšanu saskaņā ar šiem noteikumiem.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Šādā gadījumā valsts nodeva par speciālās atļaujas (licences) pārreģistrāciju nav jāmaksā.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1.23. apakšpunktā ietverto Noteikumu 52. punktu, svītrojot tā otro teikumu, ņemot vērā to, ka Parādu ārpustiesas atgūšanas likums un Noteikumi pēc projekta spēkā stāšanās neparedzēs speciālās atļaujas (licences) pārreģistrāciju. Vēršam uzmanību uz to, ka šajā gadījumā netiks veikta speciālās atļaujas (licences) pārreģistrācija, bet gan tās izsniegšana uz nenoteiktu laiku. Vienlaikus aicinām precizēt projekta 1.23. apakšpunktā ietverto Noteikumu 52. punkta pirmo teikumu, paredzot, ka ne vēlāk kā divus mēnešus pirms šo noteikumu 51. punktā minētās speciālās atļaujas (licences) derīguma termiņa beigām parāda atgūšanas pakalpojuma sniedzējs iesniedz Patērētāju tiesību aizsardzības centrā iesniegumu brīvā formā, ja tas vēlas saņemt speciālo atļauju (licenci) uz nenoteiktu laiku, vai informāciju par to, ka pēc minētās speciālās atļaujas (licences) derīguma termiņa beigām neturpinās sniegt parāda atgūšanas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52.punkta dzēsts otrais teikums.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šim punktam pievienot papildus nosacījumu, ka parāda atgūšanas pakalpojuma sniedzējs, iesniedzot iesniegumu, norāda informāciju par to, ka pēc minētās speciālās atļaujas (licences) derīguma termiņa beigām neturpinās sniegt parāda atgūšanas pakalpojumu, nav iekļaujams, jo šādai informācijai nav lietderības. Ja PTAC nesaņem šādu iesniegumu no pakalpojumu sniedzēja, viņa speciālā atļauja (licence) vienkārši netiek pagarināta un tiek apturēta. Punkta redakcija netiek mainīta, bet ir sniegts papildus skaidrojums anotācijā, ka iesniegumu iesniedz nepieciešamības gadījumā, ja vēlās turpināt sniegt pakalpojumus un saņemt speciālo atļauju (licenci) uz nenoteiktu laiku.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Šādā gadījumā valsts nodeva nav jāmaksā.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jo šobrīd nav skaidrs, vai ar minēto - "Šādā gadījumā valsts nodeva nav jāmaksā." - ir domāta valsts nodeva par speciālās atļaujas (licences) izsniegšanu vai valsts nodeva par parāda atgūšanas pakalpojumu sniedzēja darbības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ka valsts nodeva, kas nav jāmaksā ir valsts nodeva par speciālās atļaujas (licences) pārreģistrāciju, ņemot vērā, ka šī prasība par pārreģistrāciju ir atcelta.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Ikgadējo valsts nodevu par parāda atgūšanas pakalpojuma sniedzēja darbības uzraudzību maksā parāda atgūšanas pakalpojuma sniedzējs, kuram speciālā atļauja (licence) izsniegta vai pārreģistrēta līdz 2024.gada 1.oktobrim, pirmo reizi, iesniedzot iesniegumu un veicot ikgadējās valsts nodevas samaksu 53.punktā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uztveramību, lūdzam precizēt 54.punkta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izriet:</w:t>
            </w:r>
            <w:r w:rsidR="00000000" w:rsidRPr="00000000" w:rsidDel="00000000">
              <w:rPr>
                <w:i w:val="1"/>
                <w:rtl w:val="0"/>
              </w:rPr>
              <w:t xml:space="preserve"> Ikgadējo valsts nodevu </w:t>
            </w:r>
            <w:r w:rsidR="00000000" w:rsidRPr="00000000" w:rsidDel="00000000">
              <w:rPr>
                <w:i w:val="1"/>
                <w:u w:val="single"/>
                <w:rtl w:val="0"/>
              </w:rPr>
              <w:t xml:space="preserve">maksā pirmo reizi,</w:t>
            </w:r>
            <w:r w:rsidR="00000000" w:rsidRPr="00000000" w:rsidDel="00000000">
              <w:rPr>
                <w:i w:val="1"/>
                <w:rtl w:val="0"/>
              </w:rPr>
              <w:t xml:space="preserve"> iesniedzot iesniegumu un </w:t>
            </w:r>
            <w:r w:rsidR="00000000" w:rsidRPr="00000000" w:rsidDel="00000000">
              <w:rPr>
                <w:i w:val="1"/>
                <w:u w:val="single"/>
                <w:rtl w:val="0"/>
              </w:rPr>
              <w:t xml:space="preserve">veicot ikgadējās valsts nodevas samaksu</w:t>
            </w:r>
            <w:r w:rsidR="00000000" w:rsidRPr="00000000" w:rsidDel="00000000">
              <w:rPr>
                <w:i w:val="1"/>
                <w:rtl w:val="0"/>
              </w:rPr>
              <w:t xml:space="preserve"> 53.punktā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nosakot, ka ikgadējo valsts nodevu pirmo reizi maksā, iesniedzot iesniegumu un veicot ikgadējās nodevas samaksu.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Ikgadējo valsts nodevu par parāda atgūšanas pakalpojuma sniedzēja darbības uzraudzību parāda atgūšanas pakalpojuma sniedzējs, kurš saskaņā ar šo noteikumu 52.punktu ir iesniedzis iesniegumu par speciālās atļaujas (licences) izsniegšanu uz nenoteiktu laiku, pirmo reizi maksā šo noteikumu 53.punktā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1.24. apakšpunktā ietverto Noteikumu 1. pielikuma 7. punktu, svītrojot tos apakšpunktus, kas paredz apliecināt, ka iesniegumam pievienoti projekta 1.24. apakšpunktā ietvertajā Noteikumu 1. pielikuma 8. punktā minētie dokumenti. Vēršam uzmanību uz to, ka nav juridiskas nozīmes tam, ka persona apliecina, ka ir pievienojusi noteiktus dokumentus iesniegumam, jo šādam apliecinājumam nav nekādas sekas. Vienlaikus atkārtoti norādām, ka atbilstību Noteikumu 10. punktā minētajām prasībām personai jāapliecina, iesniedzot attiecīgus dokumentus, nevis apliecinot, ka attiecīgie dokumenti iesniegti. Saskaņā ar Administratīvā procesa likuma 59. pantā noteikto pēc administratīvās lietas ierosināšanas iestādei ir pienākums iegūt lēmuma pieņemšanai nepieciešamo informāciju, tādējādi iestādei būs pienākums iegūt to lēmuma pieņemšanai nepieciešamo informāciju, ko persona nav iesniegusi. Ievērojot minēto, lūdzam atkārtoti izvērtēt projekta 1.24. apakšpunktā ietvertā Noteikumu 1. pielikuma 7. punktu un nepieciešamības gadījumā papildināt projektu ar grozījumu Noteikumu 13. punktā, paredzot, ka iesniegumam tiek pievienoti dokumenti, kas apliecina personas atbilstību Noteikumu 10. punktā minētajām prasībām, attiecīgi svītrojot projekta 1.24. apakšpunktā ietverto Noteikumu 1. pielikuma 7. punktu un precizējot tā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Noteikumu Nr.485 1.pielikumā, svītrojot punktu (šī brīža Noteikumu Nr.485 redakcijā - 8.punkts), kas paredzēja, ka parāda atgūšanas pakalpojumu sniedzējs apliecina noteiktas veiktās darbības, lai saņemtu speciālo atļauju licenci.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Gandrīz visi šī punkta apliecinājumi ir pārcelti uz sekojošo punktu (šī brīža Noteikumu Nr.485 redakcijā - 9.punkts), kurā parāda atgūšanas pakalpojumu sniedzējs atzīmē, kādi dokumenti un apliecinājumi ir pievienoti iesnieguma pielikumā.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 punktā ietverto Noteikumu 1. pielikuma 7. punktu, svītrojot tos apakšpunktus, kas paredz apliecināt, ka iesniegumam pievienoti projekta 24. punktā ietvertajā Noteikumu 1. pielikuma 8. punktā minētie dokumenti. Vienlaikus vēršam uzmanību uz to, ka atbilstību Noteikumu 10. punktā minētajām prasībām personai jāapliecina, iesniedzot attiecīgus dokumentus, nevis apliecinot, ka attiecīgie dokumenti iesniegti. Saskaņā ar Administratīvā procesa likuma 59. pantā noteikto pēc administratīvās lietas ierosināšanas iestādei ir pienākums iegūt lēmuma pieņemšanai nepieciešamo informāciju, tādējādi apliecinājumam, ka noteikti dokumenti ir pievienoti iesniegumam, nav juridiskas nozīmes. Ievērojot minēto, lūdzam izvērtēt projekta 24. punktā ietvertā Noteikumu 1. pielikuma 7. punktu un nepieciešamības gadījumā papildināt projektu ar grozījumu Noteikumu 13. punktā, paredzot, ka iesniegumam tiek pievienoti dokumenti, kas apliecina personas atbilstību Noteikumu 10. punktā minētajām prasībām, attiecīgi svītrojot projekta 24. punktā ietverto Noteikumu 1. pielikuma 7. punktu un precizējot tā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7.punktam ir paredzēta cita jēga, respektīvi, ar šo punktu parāda atgūšanas pakalpojuma sniedzējs apliecina, ka ir iesniedzis minētos dokumentus, kā arī attiecīgu informāciju, tas ir kā sava veida paškontroles mehānisms. Papildus vēršam uzmanību, ka 1.pielikuma 8.punktā norādītie iesniedzamie dokumenti ir tekstuāli sagatavoti, savukārt 1.pielikuma 7.punkts paredz, ka parāda atgūšanas pakalpojuma sniedzējs apliecina, ka ir iesniedzis arī informāciju par atsevišķiem aspektiem, kuri nepieciešami Patērētāju tiesību aizsardzības centram speciālās atļaujas (licences) izsniegšanas izvērtēšanai (piemēram, kā informācija par ārpakalpojuma sniedzēju, ja tāds tiek piesaistīts u.c.).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apakšsadaļu, ņemot vērā to, ka projekta 2. punkts paredz, ka projekts stāsies spēkā 2025. gada 1. janvārī, nevis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projektu visticamāk neapstiprinās Ministru kabinetā līdz 01.01.2025., tiek noteikts, ka tas stāsies spēkā vispārējā kārtībā tiklīdz tas būs pieņemts un publicēts.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"likuma "Par nodokļiem un nodevām" 28.2 panta pirmajā daļā ir noteikts, ka pārmaksātās vai nepareizi iemaksātās valsts nodevu summas atmaksā no valsts budžeta 15 dienu laikā pēc PTAC rakstveida atzinuma iesniegšanas Valsts ieņēmumu dienestam. Iesniegumam pievieno tās personas rakstveida atzinumu, kura sniegusi pakalpojumu vai devusi nodrošinājumu, vai tiesas lēmumu, ja konkrētajos likumos vai Ministru kabineta noteikumos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likuma "Par nodokļiem un nodevām" 28.2 panta pirmajā daļā ir noteikts, ka pārmaksātās vai nepareizi iemaksātās valsts nodevu summas atmaksā no valsts budžeta 15 dienu laikā pēc nodevu maksātāja pamatota iesnieguma iesniegšanas Valsts ieņēmumu dienestam, ja likumā nav noteikts citādi. Iesniegumam pievieno tās personas rakstveida atzinumu, kura sniegusi pakalpojumu vai devusi nodrošinājumu, vai tiesas lēmumu, ja konkrētajos likumos vai Ministru kabineta noteikumos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normas izriet, ka primāri ir nepieciešams personas iesniegums, kuram pievienots PTAC rakstveida atzinums, nevis, ka atmaksas process tiek uzsākts, pamatojoties uz PTAC rakstveida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atmaksas process tiek uzsākts, pamatojoties uz PTAC rakstveida atzinumu (proti, nav nepieciešams nodevu maksātāja iesniegums valsts nodevas atmaksāšanai), tad šajā gadījumā anotācijā ir norādāma likuma "Par nodokļiem un nodevām" 28.2 panta otrā daļa, kurā noteikts, ka pārmaksātās vai nepareizi iemaksātās valsts nodevas summas bez nodevas maksātāja iesnieguma Valsts ieņēmumu dienests atmaksā no valsts budžeta 15 dienu laikā no dienas, kad ir saņēmis tās institūcijas vai amatpersonas rakstveida atzinumu, kura sniegusi pakalpojumu vai devusi nodrošinājumu vai kuras administrētajā kontā valsts nodeva iemaksāta nepareizi.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gadījumā ir jāņem vērā, ka likuma norma paredz, ka atzinumā norādāma atmaksājamā (pārmaksātā vai nepareizi iemaksātā) summa, tās pārskaitīšanai nepieciešamie rekvizīti (norēķinu konta numurs un juridiskajai personai — nosaukums un reģistrācijas numurs) un ietverama norāde par to, ka nodevas maksātājs ir izteicis lūgumu par valsts nodevas atmaksu.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anotācijā atbilstoši Likuma Par nodokļiem un nodevām noteikto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"attiecībā uz Noteikumu Nr.485 52.punktu, parāda atgūšanas pakalpojuma sniedzējs iesniedz iesniegumu par speciālās atļaujas (licences) izsniegšanu uz nenoteiktu laiku nepieciešamības gadījumā, attiecīgi iesniegums tiek iesniegts tikai tādā gadījumā, ja parāda atgūšanas pakalpojuma sniedzējs vēlās turpināt savu darbību un saņemt licenci uz nenoteiktu laiku. Ja šāda vēlēšanās nav, iesniegumu nav pienākums iesniegt. Papildus norādāms, ka iesniedzot šādu iesniegumu, parāda atgūšanas pakalpojuma sniedzējam nav jāmaksā valsts nodeva par speciālās atļaujas (licences) izsniegšanu 10 000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54.punktā noteikto, lūdzam šo anotācijas skaidrojumu papildināt arī ar informāciju, ka šajos gadījumos parāda atgūšanas pakalpojuma sniedzējam nav jāmaksā arī ikgadējā valsts nodeva par parāda atgūšanas pakalpojuma sniedzēja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kad parāda ārpustiesas atgūšanas pakalpojumu sniedzējs nolemj savu darbību neturpināt un neiesniedz iesniegumu speciālās atļaujas (licences) izsniegšanai uz nenoteiktu laiku (beidzies iepriekš izsniegtās speciālās atļaujas (licences) pārreģistrācijas termiņš - 3 gadi), tam ir nepieciešams veikt ikgadējo maksājumu arī par līdz konkrētā gada beigām atlikušo kalendāro dienu skaitu par pakalpojumu uzraudzību atbilstošo šo Noteikumu 53. punktam - "</w:t>
            </w:r>
            <w:r w:rsidR="00000000" w:rsidRPr="00000000" w:rsidDel="00000000">
              <w:rPr>
                <w:i w:val="1"/>
                <w:rtl w:val="0"/>
              </w:rPr>
              <w:t xml:space="preserve">Līdz spēkā esošās licences derīguma termiņa beigām parāda atgūšanas pakalpojumu sniedzējs samaksā ikgadējo valsts nodevu par parāda atgūšanas pakalpojumu sniedzēja darbības uzraudzību proporcionāli dienu skaitam par periodu no speciālās atļaujas (licences) derīguma termiņa beigām līdz attiecīgā kalendāra gada beigām.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2.1.sadaļā ir skaidrots, ka "parāda ārpustiesas atgūšanas pakalpojumu sniedzējiem turpmāk būs jāmaksā vienreizēja maksa par speciālās atļaujas (licences) saņemšanu 10 000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parāda ārpustiesas atgūšanas pakalpojumu sniedzējiem par speciālās atļaujas (licences) saņemšanu ir jāsamaksā valsts nodeva, lūdzam aizstāt minētajā skaidrojumā ietvertos vārdus "vienreizēja maksa" ar vārdiem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"maksa" aizstāts ar vārdiem "valsts nodeva". Vārds "vienreizēja" ir atstāts, lai neradītu pārpratumus, ka minētā valsts nodeva maksājama vairākkārt.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54.punkta izriet, ka parāda atgūšanas pakalpojuma sniedzējs, kurš ir iesniedzis iesniegumu par speciālās atļaujas (licences) izsniegšanu uz nenoteiktu laiku, pirmo reizi ikgadējo valsts nodevu par parāda atgūšanas pakalpojuma sniedzēja darbības uzraudzību samaksā līdz iepriekš izsniegtās speciālās atļaujas (licences) derīguma termiņa beigām, to aprēķinot tikai par periodu no speciālās atļaujas (licences) derīguma termiņa beigām līdz attiecīgā kalendāra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anotācijas 3.sadaļas 6.1.apakšpunktā ir skaidrots, ka "parāda atgūšanas pakalpojumu sniedzējiem, kuriem tika veikta pārlicencēšana 2024. gadā līdz Likuma grozījumiem š.g. jūlijā, speciālās atļaujas (licences) termiņš beigsies 2027. gada sākumā", aicinām pārskatīt, vai tādējādi nebūtu precizējams anotācijas 2.4.sadaļā ietvertais aprēķina skaidrojums, no kura izriet, ka visiem 18 parādu ārpustiesas atgūšanas pakalpojumu sniedzējiem, kuriem uz doto brīdi ir spēkā esošas speciālās atļaujas (licences), sākot ar 2025.gadu būs jāveic ikgadējs valsts nodevas maksājums 2000 euro apmērā par to darbības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2.4.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skatīts Ministru kabinetā 2025. gadā, lūdzam kā “n-gadu” norādīt 2025. gadu, attiecīgi precizējot tabulā norādīto informāciju, kā arī atbilstoši 5.punktam precizēto finansiālo ietekmi norādīt arī 5.1.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un papildinājumi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5.1.apakšpunktā norādīt precizēto finansiālo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šajā sadaļā nav veikti, jo norādītie cipari ir korekti. Ir sniegts papildus skaidrojums sadaļā "6.1. detalizēts ieņēmumu aprēķins", kā šie cipari ir veidojušies.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3.sadaļas 6.1.punktā minētā izriet, ka fiskālā ietekme ir 36 000 euro (18*2000=36000 euro), savukārt kolonnās “izmaiņas, salīdzinot ar vidēja termiņa budžeta ietvaru” ir norādīti citi skaitļi. Lūdzam skaidrot minētās atšķirības. Papildu lūdzam pārbaudīt kolonnās “saskaņā ar vidēja termiņa budžeta ietvaru” norādītās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budžeta sadaļā nav veikti, norādītie cipari ir korekti. Taču ir sniegts papildus skaidrojums sadaļā "</w:t>
            </w:r>
            <w:r w:rsidR="00000000" w:rsidRPr="00000000" w:rsidDel="00000000">
              <w:rPr>
                <w:i w:val="1"/>
                <w:rtl w:val="0"/>
              </w:rPr>
              <w:t xml:space="preserve">6.1. detalizēts ieņēmumu aprēķins</w:t>
            </w:r>
            <w:r w:rsidR="00000000" w:rsidRPr="00000000" w:rsidDel="00000000">
              <w:rPr>
                <w:rtl w:val="0"/>
              </w:rPr>
              <w:t xml:space="preserve">", kā šie cipari ir veidojušies un kurā gadā visi parāda ārpustiesas pakalpojumi sniedzēji veiks ikgadējās nodevas iemaksu 2000</w:t>
            </w:r>
            <w:r w:rsidR="00000000" w:rsidRPr="00000000" w:rsidDel="00000000">
              <w:rPr>
                <w:i w:val="1"/>
                <w:rtl w:val="0"/>
              </w:rPr>
              <w:t xml:space="preserve"> 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2., 4 un 6.ailē norādīt likumā “Par valsts budžetu 2024. gadam un budžeta ietvaru 2024., 2025. un 2026. gadam” ieplānoto attiecīgo valsts nodevu ieņēmumu apmēru, 5.1.apakšpunktā atspoguļot precizēto finansiālo ietekmi un šobrīd punktā “Cita informācija” sniegto informāciju pārcelt uz 6.1.apakšpunktu.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un precizējumi anotācijas 3.sadaļā.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izsniedz, izmanto, aptur un anulē speciālo atļauju (licenci);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punktā ietverto Noteikumu 1.2. apakšpunktu atbilstoši Parādu ārpustiesas atgūšanas likuma 5. panta ceturtajā daļā Ministru kabinetam dotajam pilnvarojumam, precīzi pārrakstot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1.2. apakšpunktā.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speciālās atļaujas (licences) izsniegšanas, izmantošanas un darbības apturēšanas un anulēšanas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speciālās atļaujas (licences) izsniegšanas dienu par parāda atgūšanas pakalpojuma sniedzēju Valsts ieņēmumu dienesta datubāzē nav informācijas par nokavētiem nodokļu, nodevu vai valsts noteiktajiem maksājumiem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noteikumu 16.1.apakšpunktā, aicinām izvērtēt, vai nebūtu precizējams arī noteikumu 10.6.apakšpunkts, uzsverot, ka viena no prasībām, lai saņemtu speciālo atļauju (licenci), ir tas, ka uz speciālās atļaujas (licences) izsniegšanas dienu par parāda atgūšanas pakalpojuma sniedzēju Valsts ieņēmumu dienesta datubāzē nav informācijas par Valsts ieņēmumu dienesta administrētajiem nokavētiem nodokļu, nodevu vai valsts noteiktajiem maksājumiem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10.6. apakšpunktā.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speciālās atļaujas (licences) izsniegšanas dienu par parāda atgūšanas pakalpojuma sniedzēju Valsts ieņēmumu dienesta administrēto nodokļu, nodevu vai valsts noteikto maksājumu datubāzē nav informācijas par nokavētiem nodokļu, nodevu vai valsts noteiktajiem maksājumiem valsts budžetā;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parāda atgūšanas pakalpojuma sniedzējam nokavēto nodokļu, nodevu vai citu valsts noteikto maksājumu summa ir lielāka par 1420 </w:t>
            </w:r>
            <w:r w:rsidR="00000000" w:rsidRPr="00000000" w:rsidDel="00000000">
              <w:rPr>
                <w:i w:val="1"/>
                <w:rtl w:val="0"/>
              </w:rPr>
              <w:t xml:space="preserve">euro</w:t>
            </w:r>
            <w:r w:rsidR="00000000" w:rsidRPr="00000000" w:rsidDel="00000000">
              <w:rPr>
                <w:rtl w:val="0"/>
              </w:rPr>
              <w:t xml:space="preserve">. Šādā gadījumā Patērētāju tiesību aizsardzības centrs ir tiesīgs apturēt speciālās atļaujas (licences) darbību līdz brīdim, kad tam ir sniegta informācija par pilnīgu parāda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noteikumu 16.1.apakšpunktā, aicinām izvērtēt, vai nebūtu precizējams arī noteikumu 37.5.apakšpunkts, uzsverot, ka viens no apstākļiem, lai uzsāktu procesu par parāda atgūšanas pakalpojuma sniedzējam izsniegtās speciālās atļaujas (licences) darbības apturēšanu, ir tas, ka parāda atgūšanas pakalpojuma sniedzējam ir Valsts ieņēmumu dienesta administrēto nokavēto nodokļu, nodevu vai citu valsts noteikto maksājumu summa lielāka par 1420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37. punkta redakcijā jau ir noteikts, ka PTAC ir tiesīgs pieņemt lēmumu par parāda atgūšanas pakalpojuma sniedzējam izsniegtās speciālās atļaujas (licences) darbības apturēšanu uz laiku līdz sešiem mēnešiem, ja parāda atgūšanas pakalpojuma sniedzējam nokavēto nodokļu, nodevu vai citu valsts noteikto maksājumu summa ir lielāka par 1420 euro. Līdz ar to labojumus veikt nav nepieciešams.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parāda atgūšanas pakalpojuma sniedzējam nokavēto nodokļu, nodevu vai citu valsts noteikto maksājumu summa ir lielāka par 1420 </w:t>
            </w:r>
            <w:r w:rsidR="00000000" w:rsidRPr="00000000" w:rsidDel="00000000">
              <w:rPr>
                <w:i w:val="1"/>
                <w:rtl w:val="0"/>
              </w:rPr>
              <w:t xml:space="preserve">euro</w:t>
            </w:r>
            <w:r w:rsidR="00000000" w:rsidRPr="00000000" w:rsidDel="00000000">
              <w:rPr>
                <w:rtl w:val="0"/>
              </w:rPr>
              <w:t xml:space="preserve">. Šādā gadījumā Patērētāju tiesību aizsardzības centrs ir tiesīgs apturēt speciālās atļaujas (licences) darbību līdz brīdim, kad tam ir sniegta informācija par pilnīgu parāda samaksu;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nodevu par speciālās atļaujas (licences) izsniegšanu parāda atgūšanas pakalpojuma sniedzējs maksā pirms šo noteikumu </w:t>
            </w:r>
            <w:r w:rsidR="00000000" w:rsidRPr="00000000" w:rsidDel="00000000">
              <w:rPr>
                <w:rtl w:val="0"/>
              </w:rPr>
              <w:t xml:space="preserve">12.</w:t>
            </w:r>
            <w:r w:rsidR="00000000" w:rsidRPr="00000000" w:rsidDel="00000000">
              <w:rPr>
                <w:rtl w:val="0"/>
              </w:rPr>
              <w:t xml:space="preserve"> punktā minētā iesnieguma iesniegšanas Patērētāju tiesību aizsardzības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19. punktā ietvertajā Noteikumu 47. punktā minēto atsauci uz Noteikumu 12. punktā minēto iesniegumu, ņemot vērā to, ka Noteikumu 12. punktā nav minēts iesniegums. Visticamāk atsauce domāta uz Noteikumu 13. punktā minēto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norādot atsauci uz 13.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nodevu par speciālās atļaujas (licences) izsniegšanu parāda atgūšanas pakalpojuma sniedzējs maksā pirms šo noteikumu </w:t>
            </w:r>
            <w:r w:rsidR="00000000" w:rsidRPr="00000000" w:rsidDel="00000000">
              <w:rPr>
                <w:rtl w:val="0"/>
              </w:rPr>
              <w:t xml:space="preserve">13.</w:t>
            </w:r>
            <w:r w:rsidR="00000000" w:rsidRPr="00000000" w:rsidDel="00000000">
              <w:rPr>
                <w:rtl w:val="0"/>
              </w:rPr>
              <w:t xml:space="preserve"> punktā minētā iesnieguma iesniegšanas Patērētāju tiesību aizsardzības centrā.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1. par katru nākamo kalendāra gadu - līdz kārtējā gada 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nepieciešams 47.1 punktu iedalīt vienā apakšpunktā, ņemot vērā, ka punktu dala apakšpunktos, ja ir vismaz divu nosacījumu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minētais apakšpunkts un tas ir iekļauts 47.</w:t>
            </w:r>
            <w:r w:rsidR="00000000" w:rsidRPr="00000000" w:rsidDel="00000000">
              <w:rPr>
                <w:vertAlign w:val="superscript"/>
                <w:rtl w:val="0"/>
              </w:rPr>
              <w:t xml:space="preserve">1</w:t>
            </w:r>
            <w:r w:rsidR="00000000" w:rsidRPr="00000000" w:rsidDel="00000000">
              <w:rPr>
                <w:rtl w:val="0"/>
              </w:rPr>
              <w:t xml:space="preserve">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Valsts nodevu un ikgadējo valsts nodevu parāda atgūšanas pakalpojuma sniedzējs maksā ar tāda maksājumu pakalpojuma sniedzēja starpniecību, kuram ir tiesības sniegt maksājumu pakalpojumus Maksājumu pakalpojumu un elektroniskās naudas likuma izpratnē, norādot maksājuma mērķi – valsts nodeva par speciālās atļaujas (licences) izsniegšanu vai ikgadējā valsts nodeva par darbības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vārdkopa "valsts nodeva par speciālās atļaujas (licences) izsniegšanu" netiek saīsināta (proti, tai nav lietots saīsinājums), aicinām noteikumu 48.punktā lietot valsts nodevas pilno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papildinājumi 48.punktā.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Valsts nodevu par speciālās atļaujas (licences) izsniegšanu un ikgadējo valsts nodevu par darbības uzraudzību parāda atgūšanas pakalpojuma sniedzējs maksā ar tāda maksājumu pakalpojuma sniedzēja starpniecību, kuram ir tiesības sniegt maksājumu pakalpojumus Maksājumu pakalpojumu un elektroniskās naudas likuma izpratnē, norādot maksājuma mērķi – valsts nodeva par speciālās atļaujas (licences) izsniegšanu vai ikgadējā valsts nodeva par darbības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Valsts nodevu parāda atgūšanas pakalpojuma sniedzējs maksā ar tāda maksājumu pakalpojuma sniedzēja starpniecību, kuram ir tiesības sniegt maksājumu pakalpojumus Maksājumu pakalpojumu un elektroniskās naudas likuma izpratnē, norādot maksājuma mērķi – valsts nodeva par speciālās atļaujas (licences)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21. punktā ietverto Noteikumu 48. punkta otro teikumu ar atsauci arī uz ikgadējo valsts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48.punktā, ietverot atsauci arī uz ikgadējo valsts nodevu par darbības uzraudzību.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Valsts nodevu par speciālās atļaujas (licences) izsniegšanu un ikgadējo valsts nodevu par darbības uzraudzību parāda atgūšanas pakalpojuma sniedzējs maksā ar tāda maksājumu pakalpojuma sniedzēja starpniecību, kuram ir tiesības sniegt maksājumu pakalpojumus Maksājumu pakalpojumu un elektroniskās naudas likuma izpratnē, norādot maksājuma mērķi – valsts nodeva par speciālās atļaujas (licences) izsniegšanu vai ikgadējā valsts nodeva par darbības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saskaņā ar likumā "Par nodokļiem un nodevām"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likuma "Par nodokļiem un nodevām" 28.2 pants reglamentē pārmaksātās vai nepareizi iemaksātās valsts nodevu atmaksas kārtību. Mūsuprāt, nodevas daļa, kas tiek atmaksāta, nav ne pārmaksātā nodeva, ne nepareizi iemaksātā. Turklāt minētā likuma 10 panta otrajā daļā noteikts, ka Ministru kabineta noteikumos par valsts nodevām jāparedz to maksāšanas kārtība, likmes, atvieglojumi, atbrīvojumi, kā arī valsts nodevas atmaksas kārtība gadījumos, kad pieņemts nelabvēlīgs gala lēmums. Iespējams, šobrīd normā var atrunāt, ka šādā situācijā piemērojama tāda pati kārtība, kā noteikta likumā "Par nodokļiem un nodevām" attiecībā uz  pārmaksāto un nepareizi iemaksāto valsts nodevu atmaksu.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punkta redakcijā, ņemot vērā Finanšu ministrijas ieteikumu.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tādā kārtībā, kāda noteikta likuma "Par nodokļiem un nodevām" attiecībā uz pārmaksātās vai nepareizi iemaksātās valsts nodevas summas atmaksu.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saskaņā ar likumā "Par nodokļiem un nodevām"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sākotnējās ietekmes novērtējuma ziņojumu (anotāciju) ar informāciju par to, saskaņā ar kuru likuma "Par nodokļiem un nodevām" normu tiek atmaksāta valsts nodeva 50 %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tādā kārtībā, kāda noteikta likuma "Par nodokļiem un nodevām" attiecībā uz pārmaksātās vai nepareizi iemaksātās valsts nodevas summas atmaksu.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ir spēkā līdz speciālajā atļaujā (licencē) norādītā termiņa beigām, ja vien netiek pieņemts lēmums par speciālās atļaujas (licences) anulēšanu vai darbības apturēšanu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1.23. apakšpunktā ietverto Noteikumu 51. punktu, nosakot, ka speciālā atļauja (licence), kas izsniegta saskaņā ar Parādu ārpustiesas atgūšanas likumā, redakcijā, kas bija spēkā līdz 2024. gada 11. jūlijam, noteikto, ir spēkā līdz tajā norādītā termiņa beigām. Vienlaikus aicinām precizēt projekta 1.23. apakšpunktā ietverto Noteikumu 53. punktu, aizstājot vārdus "līdz spēkā esošās licences" ar vārdiem "līdz šo noteikumu 51. punktā minētās speciālās atļaujas (licences)".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redakcionālie precizējumi nav nepieciešami, ņemot vērā, ka no šo punktu redakcijām jau skaidri ir saprotams, ka tiek runāts par iepriekš izsniegtajām licencēm.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ir spēkā līdz speciālajā atļaujā (licencē) norādītā termiņa beigām, ja vien netiek pieņemts lēmums par speciālās atļaujas (licences) anulēšanu vai darbības apturēšanu saskaņā ar šiem noteikumiem.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noteikumu 10.punktā ir noteiktas prasības, kurām ir jāatbilst parāda atgūšanas pakalpojuma sniedzējam, lai saņemtu speciālo atļauju (licenci), savukārt dokumenti, kas jāpievieno iesniegumam, ir noteikti noteikumu 1.pielikumā. Tāpat jāuzsver, ka arī noteikumu 31.punktā ir ietverta atsauce uz 1.pielikumā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izvērtēt, vai ir korekti norādīt, ka iesniegumam jāpievieno "šo noteikumu 10. punktā minētās ziņas un dokumentus", ja noteikumu 10.punktā ir uzskaitītas prasības nevis dokumenti, kuri jāiesniedz, lai pierādītu atbilstību uzskaitītajām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iespējamajiem risinājumiem ir noteikumu 52.punktā paredzēt, ka iesniegumam pievieno ziņas un dokumentus, kas apliecina parāda atgūšanas pakalpojuma sniedzēja atbilstību šo noteikumu 10.punktā uzskaitītajām prasībām speciālās atļaujas (licences) saņemšanai, ja iepriekš sniegtā informācija ir mainījusies vai beidzies dokumenta derīguma termiņš, un par to nav paziņots Patērētāju tiesību aizsardzības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attiecīgo jautājumu ir panākta vienošanās starp Tieslietu un Finanšu ministrijām, noteikumu punkts ir atstājams pašreizējā redakcijā (skatīt izziņas 18.punktu).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Šādā gadījumā valsts nodeva par speciālās atļaujas (licences) pārreģistrāciju nav jāmaksā.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redakciju attiecībā uz minēto, ka "Šādā gadījumā valsts nodeva par speciālās atļaujas (licences) pārreģistrāciju nav jāmaksā.". Nav skaidrs, kādēļ tas būtu atrunājams, jo uz šo brīdi vairs nav tāda valsts nodevas objekta.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52.punktā.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Ikgadējo valsts nodevu par parāda atgūšanas pakalpojuma sniedzēja darbības uzraudzību parāda atgūšanas pakalpojuma sniedzējs, pirmo reizi maksā, iesniedzot iesniegumu un veicot ikgadējās valsts nodevas samaksu 53.punktā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52. un 53.punkta secināms, ka gadījumos, ja pakalpojumu sniedzējs saskaņā ar noteikumu 52.punktu ir iesniedzis iesniegumu par speciālās atļaujas (licences) izsniegšanu uz nenoteiktu laiku, tam ir pienākums samaksāt ikgadējo valsts nodevu līdz iepriekš izsniegtās speciālās atļaujas (licences) derīguma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minētajām normām jau ir izsecināms brīdis, kad pirmo reizi veicama ikgadējās valsts nodevas par parāda atgūšanas pakalpojuma sniedzēja darbības uzraudzību samaksa (tas ir - līdz spēkā esošās licences derīguma termiņa beigām), tad īsti nav saprotama noteikumu 54.punkta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tomēr šī norma ir nepieciešama, aicinām izvērtēt iespēju noteikumu 54.punktu atbilstoši precizēt, nodrošinot tā satura skaidru uztveramību. Piemēram, nosakot, ka parāda atgūšanas pakalpojuma sniedzējs, kurš saskaņā ar šo noteikumu 52.punktu ir iesniedzis iesniegumu par speciālās atļaujas (licences) izsniegšanu uz nenoteiktu laiku, pirmo reizi valsts nodevu par parāda atgūšanas pakalpojumu sniedzēja darbības uzraudzību maksā saskaņā ar noteikumu 53.punktā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Noteikumu 54.punktā.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Ikgadējo valsts nodevu par parāda atgūšanas pakalpojuma sniedzēja darbības uzraudzību parāda atgūšanas pakalpojuma sniedzējs, kurš saskaņā ar šo noteikumu 52.punktu ir iesniedzis iesniegumu par speciālās atļaujas (licences) izsniegšanu uz nenoteiktu laiku, pirmo reizi maksā šo noteikumu 53.punktā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2024. gada 16. jūlija noteikumos Nr. 485 "Parāda atgūšanas pakalpojuma sniedzēju licencēšanas kārtība" konsekventi svītrot atsauces uz Eiropas Banku iestādes pamatnostādnēm. Proti, lūdzam atsauces svītrot ne tikai noteikumu pamattekstā, bet arī tā pielikumos (sk. noteikumu 1. pielikumu (projekta pielikums) un 4. pielikumu), kā arī attiecīgi precizēt anotāciju. Papildus aicinām pēc būtības pamatot projekta 10. punktā ietverto prasību, anotācijā skaidrojot, kādēļ attiecīgā prasība paredzēta.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1.pielikumā, svītrojot atsauci uz Eiropas Banka iestādes pamatnostādnēm.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10.punktu, norādām, ka Ekonomikas ministrija šajā apakšpunktā ir veikusi tikai vienu interpunkcijas labojumu - apakšpunkta beigās semikols ir izlabots uz punktu, ņemot vērā, ka sekojošais apakšpunkts (10.11.15.) no Noteikumu projekta tiek svītrots.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Finanšu ministrijas izstrādātā noteikumu projekta (24-TA-1683) sākotnējās ietekmes (ex-ante) novērtējuma ziņojumā (anotācijā) ietvertajam skaidrojumam, prasība par valodas lietojumu ir noteikta atbilstoši Eiropas Parlamenta un Padomes 2021.gada 24.novembra direktīvas (ES) 2021/2167  par kredītu apkalpotājiem un kredītu pircējiem un ar ko groza Direktīvas 2008/48/EK un 2014/17/ES, 13.panta 2.punkta “a”, “c” “g” apakšpunktiem, kuri  satur prasības, kas attiecināmas uz kredītu apkalpotāju, kas piederības dalībvalstī ir saņēmis atļauju saskaņā ar minētās direktīvas 4.panta 1.punktu un plāno sniegt pakalpojumus uzņēmējā dalībvalstī. </w:t>
            </w:r>
            <w:r w:rsidR="00000000" w:rsidRPr="00000000" w:rsidDel="00000000">
              <w:rPr>
                <w:u w:val="single"/>
                <w:rtl w:val="0"/>
              </w:rPr>
              <w:t xml:space="preserve">Attiecīgi kredītu apkalpotājam ir jāiesniedz informācija</w:t>
            </w:r>
            <w:r w:rsidR="00000000" w:rsidRPr="00000000" w:rsidDel="00000000">
              <w:rPr>
                <w:rtl w:val="0"/>
              </w:rPr>
              <w:t xml:space="preserve">:  a) uzņēmēja dalībvalsts, kurā kredītu apkalpotājs plāno sniegt pakalpojumus, un – ja kredītu apkalpotājam šī informācija jau ir zināma – dalībvalsts, kurā kredīts ir piešķirts, ja tā nav uzņēmēja dalībvalsts vai piederības dalībvalsts; c) attiecīgā gadījumā – kredītpakalpojumu sniedzēja uzņēmējā dalībvalstī identitāte un adrese; g) </w:t>
            </w:r>
            <w:r w:rsidR="00000000" w:rsidRPr="00000000" w:rsidDel="00000000">
              <w:rPr>
                <w:u w:val="single"/>
                <w:rtl w:val="0"/>
              </w:rPr>
              <w:t xml:space="preserve">ka kredītu apkalpotājam ir piemēroti līdzekļi, lai sazinātos uzņēmējas dalībvalsts valodā vai kredītlīguma valodā.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16.jūlija noteikumu Nr.485 "Parāda atgūšanas pakalpojuma sniedzēju licencēšanas kārtība" 10.2.apakšpunktā norādīts, ka, lai saņemtu speciālo atļauju (licenci), parāda atgūšanas pakalpojuma sniedzēja padomes vai valdes loceklim vai pārstāvēttiesīgajam biedram nedrīkst būt atņemtas tiesības veikt komercdarbību vai nedrīkst būt piemērots administratīvais sods – tiesību atņemšana ieņemt noteiktus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projekta 24.punktā ietveto Ministru kabineta 2024.gada 16.jūlija noteikumu Nr.485 "Parāda atgūšanas pakalpojuma sniedzēju licencēšanas kārtība" 1.pielikuma 7.punktu ar papildus apakšpunktu, kas noteiktu, ka Iesnieguma speciālās atļaujas (licences) saņemšanai parakstītājs apliecina, ka parāda atgūšanas pakalpojuma sniedzēja padomes vai valdes loceklim vai pārstāvēttiesīgajam biedram nav atņemtas tiesības veikt komercdarbību vai nav piemērots administratīvais sods – tiesību atņemšana ieņemt noteiktus amatus.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papildus nosacījumu nav nepieciešams pievienot 1.pielikuma 7.punktam, ņemot vērā, ka PTAC, izvērtējot pakalpojuma sniedzēja sniegto informāciju un dokumentus, lai saņemtu speciālo atļauju (licenci), jau šobrīd veic sīku pieejamās informācijas un datu pārbaudi un analīzi, tai skaitā par personu tiesībām veikt komercdarbību un citiem būtiskiem aspektiem. Tostarp, ja ir nepieciešama kāda cita, papildus informācija, kas nav norādīta 1.pielikumā, PTAC ir tiesības šādu informāciju iesniedzējam papildus pieprasīt.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PTAC tostarp vērtē parāda atgūšanas pakalpojuma sniedzēja un tā darbinieku reputāciju pēc būtības, sodāmību u.c. aspektus, ņemot vērā, ka parāda ārpustiesas pakalpojumu sniedzēji ir arī </w:t>
            </w:r>
            <w:r w:rsidR="00000000" w:rsidRPr="00000000" w:rsidDel="00000000">
              <w:rPr>
                <w:i w:val="1"/>
                <w:rtl w:val="0"/>
              </w:rPr>
              <w:t xml:space="preserve">Noziedzīgi iegūtu līdzekļu legalizācijas un terorisma un proliferācijas finansēšanas novēršanas likuma</w:t>
            </w:r>
            <w:r w:rsidR="00000000" w:rsidRPr="00000000" w:rsidDel="00000000">
              <w:rPr>
                <w:rtl w:val="0"/>
              </w:rPr>
              <w:t xml:space="preserve"> subjekti.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24-TA-1914</w:t>
    </w:r>
    <w:r>
      <w:br/>
    </w:r>
    <w:r w:rsidR="00000000" w:rsidRPr="00000000" w:rsidDel="00000000">
      <w:rPr>
        <w:rtl w:val="0"/>
      </w:rPr>
      <w:t xml:space="preserve">14.01.2025. 12.01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24-TA-1914</w:t>
    </w:r>
    <w:r>
      <w:br/>
    </w:r>
    <w:r w:rsidR="00000000" w:rsidRPr="00000000" w:rsidDel="00000000">
      <w:rPr>
        <w:rtl w:val="0"/>
      </w:rPr>
      <w:t xml:space="preserve">14.01.2025. 12.01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Izziņa_24-TA-1914.docx</dc:title>
</cp:coreProperties>
</file>

<file path=docProps/custom.xml><?xml version="1.0" encoding="utf-8"?>
<Properties xmlns="http://schemas.openxmlformats.org/officeDocument/2006/custom-properties" xmlns:vt="http://schemas.openxmlformats.org/officeDocument/2006/docPropsVTypes"/>
</file>