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ED" w:rsidP="000665ED" w:rsidRDefault="005C0032">
      <w:pPr>
        <w:jc w:val="center"/>
        <w:rPr>
          <w:b/>
          <w:sz w:val="28"/>
          <w:szCs w:val="28"/>
          <w:lang w:val="lv-LV"/>
        </w:rPr>
      </w:pPr>
      <w:r>
        <w:rPr>
          <w:b/>
          <w:sz w:val="28"/>
          <w:lang w:val="lv-LV"/>
        </w:rPr>
        <w:t>Latvijas Lielo pilsētu asociācijas i</w:t>
      </w:r>
      <w:r w:rsidRPr="005C0032" w:rsidR="00015248">
        <w:rPr>
          <w:b/>
          <w:sz w:val="28"/>
          <w:lang w:val="lv-LV"/>
        </w:rPr>
        <w:t>zziņa iebildumiem</w:t>
      </w:r>
      <w:r>
        <w:rPr>
          <w:b/>
          <w:sz w:val="28"/>
          <w:lang w:val="lv-LV"/>
        </w:rPr>
        <w:t xml:space="preserve"> par</w:t>
      </w:r>
      <w:bookmarkStart w:name="OLE_LINK1" w:id="0"/>
      <w:bookmarkStart w:name="OLE_LINK2" w:id="1"/>
      <w:r>
        <w:rPr>
          <w:b/>
          <w:sz w:val="28"/>
          <w:lang w:val="lv-LV"/>
        </w:rPr>
        <w:t xml:space="preserve"> noteikumu projektu “</w:t>
      </w:r>
      <w:r w:rsidRPr="005C0032" w:rsidR="000665ED">
        <w:rPr>
          <w:b/>
          <w:sz w:val="28"/>
          <w:szCs w:val="28"/>
          <w:lang w:val="lv-LV"/>
        </w:rPr>
        <w:t>Grozījumi Ministru kabineta 2003.</w:t>
      </w:r>
      <w:r>
        <w:rPr>
          <w:b/>
          <w:sz w:val="28"/>
          <w:szCs w:val="28"/>
          <w:lang w:val="lv-LV"/>
        </w:rPr>
        <w:t> </w:t>
      </w:r>
      <w:r w:rsidRPr="005C0032" w:rsidR="000665ED">
        <w:rPr>
          <w:b/>
          <w:sz w:val="28"/>
          <w:szCs w:val="28"/>
          <w:lang w:val="lv-LV"/>
        </w:rPr>
        <w:t>gada 26.</w:t>
      </w:r>
      <w:r>
        <w:rPr>
          <w:b/>
          <w:sz w:val="28"/>
          <w:szCs w:val="28"/>
          <w:lang w:val="lv-LV"/>
        </w:rPr>
        <w:t> </w:t>
      </w:r>
      <w:r w:rsidRPr="005C0032" w:rsidR="000665ED">
        <w:rPr>
          <w:b/>
          <w:sz w:val="28"/>
          <w:szCs w:val="28"/>
          <w:lang w:val="lv-LV"/>
        </w:rPr>
        <w:t>augusta noteikumos Nr.</w:t>
      </w:r>
      <w:r>
        <w:rPr>
          <w:b/>
          <w:sz w:val="28"/>
          <w:szCs w:val="28"/>
          <w:lang w:val="lv-LV"/>
        </w:rPr>
        <w:t> 474 “</w:t>
      </w:r>
      <w:r w:rsidRPr="005C0032" w:rsidR="000665ED">
        <w:rPr>
          <w:b/>
          <w:sz w:val="28"/>
          <w:szCs w:val="28"/>
          <w:lang w:val="lv-LV"/>
        </w:rPr>
        <w:t>Noteikumi par kultūras pieminekļu uzskaiti, aizsardzību, izmantošanu, restaurāciju un vidi degradējoša objekta statusa piešķiršanu”</w:t>
      </w:r>
      <w:r>
        <w:rPr>
          <w:b/>
          <w:sz w:val="28"/>
          <w:szCs w:val="28"/>
          <w:lang w:val="lv-LV"/>
        </w:rPr>
        <w:t>”</w:t>
      </w:r>
    </w:p>
    <w:p w:rsidR="00EE60F5" w:rsidP="00EA4381" w:rsidRDefault="005C0032">
      <w:pPr>
        <w:jc w:val="center"/>
        <w:rPr>
          <w:i/>
          <w:sz w:val="28"/>
          <w:szCs w:val="28"/>
          <w:lang w:val="lv-LV"/>
        </w:rPr>
      </w:pPr>
      <w:r w:rsidRPr="005C0032">
        <w:rPr>
          <w:i/>
          <w:sz w:val="28"/>
          <w:szCs w:val="28"/>
          <w:lang w:val="lv-LV"/>
        </w:rPr>
        <w:t>(turpmāk – Noteikumu projekts)</w:t>
      </w:r>
      <w:bookmarkEnd w:id="0"/>
      <w:bookmarkEnd w:id="1"/>
    </w:p>
    <w:p w:rsidRPr="005C0032" w:rsidR="00EA4381" w:rsidP="00EA4381" w:rsidRDefault="00EA4381">
      <w:pPr>
        <w:jc w:val="center"/>
        <w:rPr>
          <w:lang w:val="lv-LV"/>
        </w:rPr>
      </w:pPr>
    </w:p>
    <w:tbl>
      <w:tblPr>
        <w:tblW w:w="153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09"/>
        <w:gridCol w:w="851"/>
        <w:gridCol w:w="6237"/>
        <w:gridCol w:w="7513"/>
      </w:tblGrid>
      <w:tr w:rsidRPr="005C0032" w:rsidR="005300D6" w:rsidTr="00EA4381">
        <w:trPr>
          <w:trHeight w:val="557"/>
        </w:trPr>
        <w:tc>
          <w:tcPr>
            <w:tcW w:w="709" w:type="dxa"/>
            <w:tcBorders>
              <w:top w:val="single" w:color="auto" w:sz="4" w:space="0"/>
              <w:left w:val="single" w:color="auto" w:sz="4" w:space="0"/>
              <w:bottom w:val="single" w:color="auto" w:sz="4" w:space="0"/>
              <w:right w:val="single" w:color="auto" w:sz="4" w:space="0"/>
            </w:tcBorders>
          </w:tcPr>
          <w:p w:rsidRPr="005C0032" w:rsidR="005300D6" w:rsidP="007C3313" w:rsidRDefault="005300D6">
            <w:pPr>
              <w:jc w:val="center"/>
              <w:rPr>
                <w:b/>
                <w:bCs/>
                <w:lang w:val="lv-LV"/>
              </w:rPr>
            </w:pPr>
            <w:r w:rsidRPr="005C0032">
              <w:rPr>
                <w:b/>
                <w:bCs/>
                <w:lang w:val="lv-LV"/>
              </w:rPr>
              <w:t>Nr.p.k.</w:t>
            </w:r>
          </w:p>
        </w:tc>
        <w:tc>
          <w:tcPr>
            <w:tcW w:w="851" w:type="dxa"/>
            <w:tcBorders>
              <w:top w:val="single" w:color="auto" w:sz="4" w:space="0"/>
              <w:left w:val="single" w:color="auto" w:sz="4" w:space="0"/>
              <w:bottom w:val="single" w:color="auto" w:sz="4" w:space="0"/>
              <w:right w:val="single" w:color="auto" w:sz="4" w:space="0"/>
            </w:tcBorders>
          </w:tcPr>
          <w:p w:rsidRPr="005C0032" w:rsidR="005300D6" w:rsidP="007C3313" w:rsidRDefault="005300D6">
            <w:pPr>
              <w:jc w:val="center"/>
              <w:rPr>
                <w:b/>
                <w:bCs/>
                <w:lang w:val="lv-LV"/>
              </w:rPr>
            </w:pPr>
            <w:r w:rsidRPr="005C0032">
              <w:rPr>
                <w:b/>
                <w:bCs/>
                <w:sz w:val="22"/>
                <w:lang w:val="lv-LV"/>
              </w:rPr>
              <w:t>Lpp.</w:t>
            </w:r>
          </w:p>
        </w:tc>
        <w:tc>
          <w:tcPr>
            <w:tcW w:w="6237" w:type="dxa"/>
            <w:tcBorders>
              <w:top w:val="single" w:color="auto" w:sz="4" w:space="0"/>
              <w:left w:val="single" w:color="auto" w:sz="4" w:space="0"/>
              <w:bottom w:val="single" w:color="auto" w:sz="4" w:space="0"/>
              <w:right w:val="single" w:color="auto" w:sz="4" w:space="0"/>
            </w:tcBorders>
            <w:vAlign w:val="center"/>
          </w:tcPr>
          <w:p w:rsidRPr="005C0032" w:rsidR="005300D6" w:rsidP="005C0032" w:rsidRDefault="005C0032">
            <w:pPr>
              <w:jc w:val="center"/>
              <w:rPr>
                <w:b/>
                <w:bCs/>
                <w:lang w:val="lv-LV"/>
              </w:rPr>
            </w:pPr>
            <w:r>
              <w:rPr>
                <w:b/>
                <w:bCs/>
                <w:lang w:val="lv-LV"/>
              </w:rPr>
              <w:t>Piedāvātā</w:t>
            </w:r>
            <w:r w:rsidRPr="005C0032" w:rsidR="005300D6">
              <w:rPr>
                <w:b/>
                <w:bCs/>
                <w:lang w:val="lv-LV"/>
              </w:rPr>
              <w:t xml:space="preserve"> redakcija</w:t>
            </w:r>
          </w:p>
        </w:tc>
        <w:tc>
          <w:tcPr>
            <w:tcW w:w="7513" w:type="dxa"/>
            <w:tcBorders>
              <w:top w:val="single" w:color="auto" w:sz="4" w:space="0"/>
              <w:left w:val="single" w:color="auto" w:sz="4" w:space="0"/>
              <w:bottom w:val="single" w:color="auto" w:sz="4" w:space="0"/>
              <w:right w:val="single" w:color="auto" w:sz="4" w:space="0"/>
            </w:tcBorders>
            <w:vAlign w:val="center"/>
          </w:tcPr>
          <w:p w:rsidRPr="005C0032" w:rsidR="005300D6" w:rsidP="005C0032" w:rsidRDefault="005C0032">
            <w:pPr>
              <w:jc w:val="center"/>
              <w:rPr>
                <w:b/>
                <w:bCs/>
                <w:lang w:val="lv-LV"/>
              </w:rPr>
            </w:pPr>
            <w:r>
              <w:rPr>
                <w:b/>
                <w:bCs/>
                <w:lang w:val="lv-LV"/>
              </w:rPr>
              <w:t>Iebildumi, pamatojums</w:t>
            </w:r>
          </w:p>
        </w:tc>
      </w:tr>
      <w:tr w:rsidRPr="005C0032" w:rsidR="005C0032" w:rsidTr="00EA4381">
        <w:trPr>
          <w:trHeight w:val="1462"/>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1.</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1.</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5C0032">
            <w:pPr>
              <w:jc w:val="both"/>
              <w:rPr>
                <w:lang w:val="lv-LV"/>
              </w:rPr>
            </w:pPr>
            <w:r>
              <w:rPr>
                <w:lang w:val="lv-LV"/>
              </w:rPr>
              <w:t xml:space="preserve">2. </w:t>
            </w:r>
            <w:r w:rsidRPr="005C0032">
              <w:rPr>
                <w:lang w:val="lv-LV"/>
              </w:rPr>
              <w:t>Papildināt noteikumus ar 1.</w:t>
            </w:r>
            <w:r w:rsidRPr="00611A41">
              <w:rPr>
                <w:vertAlign w:val="superscript"/>
                <w:lang w:val="lv-LV"/>
              </w:rPr>
              <w:t xml:space="preserve">1 </w:t>
            </w:r>
            <w:r w:rsidRPr="005C0032">
              <w:rPr>
                <w:lang w:val="lv-LV"/>
              </w:rPr>
              <w:t>punktu šādā redakcijā:</w:t>
            </w:r>
          </w:p>
          <w:p w:rsidRPr="005C0032" w:rsidR="005C0032" w:rsidP="005C0032" w:rsidRDefault="005C0032">
            <w:pPr>
              <w:jc w:val="both"/>
              <w:rPr>
                <w:lang w:val="lv-LV"/>
              </w:rPr>
            </w:pPr>
            <w:r w:rsidRPr="005C0032">
              <w:rPr>
                <w:lang w:val="lv-LV"/>
              </w:rPr>
              <w:t>„1.</w:t>
            </w:r>
            <w:r w:rsidRPr="00611A41">
              <w:rPr>
                <w:vertAlign w:val="superscript"/>
                <w:lang w:val="lv-LV"/>
              </w:rPr>
              <w:t>1</w:t>
            </w:r>
            <w:r w:rsidRPr="005C0032">
              <w:rPr>
                <w:lang w:val="lv-LV"/>
              </w:rPr>
              <w:t xml:space="preserve"> Vietējās nozīmes kultūras pieminekļu aizsardzībai, izmantošanai un restaurācijai pašvaldības izdod saistošos noteikumus.”.</w:t>
            </w:r>
          </w:p>
        </w:tc>
        <w:tc>
          <w:tcPr>
            <w:tcW w:w="7513" w:type="dxa"/>
            <w:tcBorders>
              <w:top w:val="single" w:color="auto" w:sz="4" w:space="0"/>
              <w:left w:val="single" w:color="auto" w:sz="4" w:space="0"/>
              <w:bottom w:val="single" w:color="auto" w:sz="4" w:space="0"/>
              <w:right w:val="single" w:color="auto" w:sz="4" w:space="0"/>
            </w:tcBorders>
          </w:tcPr>
          <w:p w:rsidR="00050A3F" w:rsidP="00050A3F" w:rsidRDefault="005C0032">
            <w:pPr>
              <w:jc w:val="both"/>
              <w:rPr>
                <w:b/>
                <w:lang w:val="lv-LV"/>
              </w:rPr>
            </w:pPr>
            <w:r>
              <w:rPr>
                <w:lang w:val="lv-LV"/>
              </w:rPr>
              <w:t>A</w:t>
            </w:r>
            <w:r w:rsidRPr="005C0032">
              <w:rPr>
                <w:lang w:val="lv-LV"/>
              </w:rPr>
              <w:t xml:space="preserve">tbilstoši likuma </w:t>
            </w:r>
            <w:r>
              <w:rPr>
                <w:lang w:val="lv-LV"/>
              </w:rPr>
              <w:t>“</w:t>
            </w:r>
            <w:r w:rsidRPr="005C0032">
              <w:rPr>
                <w:lang w:val="lv-LV"/>
              </w:rPr>
              <w:t>Par kultūras pieminekļu aizsa</w:t>
            </w:r>
            <w:r>
              <w:rPr>
                <w:lang w:val="lv-LV"/>
              </w:rPr>
              <w:t>rdzību” 5. panta trešajai daļai Noteikumu p</w:t>
            </w:r>
            <w:r w:rsidRPr="005C0032">
              <w:rPr>
                <w:lang w:val="lv-LV"/>
              </w:rPr>
              <w:t xml:space="preserve">rojekta 2. punktā paredzēts deleģējums pašvaldības saistošo noteikumu izdošanai, tomēr nav saprotama </w:t>
            </w:r>
            <w:r w:rsidR="00BA2297">
              <w:rPr>
                <w:lang w:val="lv-LV"/>
              </w:rPr>
              <w:t xml:space="preserve">Noteikumu projekta </w:t>
            </w:r>
            <w:r>
              <w:rPr>
                <w:lang w:val="lv-LV"/>
              </w:rPr>
              <w:t>2. punkta piemērošana. Proti, Noteikumu p</w:t>
            </w:r>
            <w:r w:rsidR="00050A3F">
              <w:rPr>
                <w:lang w:val="lv-LV"/>
              </w:rPr>
              <w:t>rojekta 24. (noteikumu 22.pkt.), 25. (noteikumu 24.pkt.), 26. (n</w:t>
            </w:r>
            <w:r w:rsidRPr="005C0032">
              <w:rPr>
                <w:lang w:val="lv-LV"/>
              </w:rPr>
              <w:t>oteikumu 26.pkt.) punkts nosaka gadījumus, kad pašva</w:t>
            </w:r>
            <w:r w:rsidR="00050A3F">
              <w:rPr>
                <w:lang w:val="lv-LV"/>
              </w:rPr>
              <w:t>ldībai ir jāizdod atļauja, bet Noteikumu p</w:t>
            </w:r>
            <w:r w:rsidRPr="005C0032">
              <w:rPr>
                <w:lang w:val="lv-LV"/>
              </w:rPr>
              <w:t>rojek</w:t>
            </w:r>
            <w:r w:rsidR="00050A3F">
              <w:rPr>
                <w:lang w:val="lv-LV"/>
              </w:rPr>
              <w:t>ta 35. (noteikumu 44.pkt.), 38. (n</w:t>
            </w:r>
            <w:r w:rsidRPr="005C0032">
              <w:rPr>
                <w:lang w:val="lv-LV"/>
              </w:rPr>
              <w:t>oteikumu 52.pkt.) neparedz atļaujas nepieciešamību vietējās nozīmes kultūras pieminekļie</w:t>
            </w:r>
            <w:r w:rsidR="00050A3F">
              <w:rPr>
                <w:lang w:val="lv-LV"/>
              </w:rPr>
              <w:t>m. Vienlaikus norādāms, ka arī Noteikumu projekta 36. (noteikumu 47.pkt.), 38. (n</w:t>
            </w:r>
            <w:r w:rsidRPr="005C0032">
              <w:rPr>
                <w:lang w:val="lv-LV"/>
              </w:rPr>
              <w:t xml:space="preserve">oteikumu 55. un 57.pkt.) punkts neparedz rīcību attiecībā uz vietējās nozīmes kultūras pieminekļiem. Līdz ar to </w:t>
            </w:r>
            <w:r w:rsidRPr="00050A3F" w:rsidR="00050A3F">
              <w:rPr>
                <w:b/>
                <w:lang w:val="lv-LV"/>
              </w:rPr>
              <w:t>būtu jāprecizē Noteikumu p</w:t>
            </w:r>
            <w:r w:rsidRPr="00050A3F">
              <w:rPr>
                <w:b/>
                <w:lang w:val="lv-LV"/>
              </w:rPr>
              <w:t>rojekts jautājumā par pašvaldības kompetenci attiecībā uz vietējā</w:t>
            </w:r>
            <w:r w:rsidR="00050A3F">
              <w:rPr>
                <w:b/>
                <w:lang w:val="lv-LV"/>
              </w:rPr>
              <w:t>s nozīmes kultūras pieminekļiem, nosakot:</w:t>
            </w:r>
          </w:p>
          <w:p w:rsidR="00050A3F" w:rsidP="00050A3F" w:rsidRDefault="00050A3F">
            <w:pPr>
              <w:jc w:val="both"/>
              <w:rPr>
                <w:lang w:val="lv-LV"/>
              </w:rPr>
            </w:pPr>
            <w:r>
              <w:rPr>
                <w:lang w:val="lv-LV"/>
              </w:rPr>
              <w:t>1. vai n</w:t>
            </w:r>
            <w:r w:rsidRPr="005C0032" w:rsidR="005C0032">
              <w:rPr>
                <w:lang w:val="lv-LV"/>
              </w:rPr>
              <w:t>oteikumos paredzētās atļaujas ir obligātas arī vietējās noz</w:t>
            </w:r>
            <w:r>
              <w:rPr>
                <w:lang w:val="lv-LV"/>
              </w:rPr>
              <w:t>īmes kultūras pieminekļiem;</w:t>
            </w:r>
          </w:p>
          <w:p w:rsidR="00050A3F" w:rsidP="00050A3F" w:rsidRDefault="00050A3F">
            <w:pPr>
              <w:jc w:val="both"/>
              <w:rPr>
                <w:lang w:val="lv-LV"/>
              </w:rPr>
            </w:pPr>
            <w:r>
              <w:rPr>
                <w:lang w:val="lv-LV"/>
              </w:rPr>
              <w:t xml:space="preserve">2. </w:t>
            </w:r>
            <w:r w:rsidRPr="005C0032" w:rsidR="005C0032">
              <w:rPr>
                <w:lang w:val="lv-LV"/>
              </w:rPr>
              <w:t>vai ar saistošiem noteikumiem pašvaldībai tiek piešķirtās tiesības noteikt tādu atļauju nepieciešamību, kura nav paredzēta noteikumos</w:t>
            </w:r>
            <w:r>
              <w:rPr>
                <w:lang w:val="lv-LV"/>
              </w:rPr>
              <w:t>;</w:t>
            </w:r>
            <w:r w:rsidRPr="005C0032" w:rsidR="005C0032">
              <w:rPr>
                <w:lang w:val="lv-LV"/>
              </w:rPr>
              <w:t xml:space="preserve"> </w:t>
            </w:r>
          </w:p>
          <w:p w:rsidRPr="005C0032" w:rsidR="005C0032" w:rsidP="00050A3F" w:rsidRDefault="00050A3F">
            <w:pPr>
              <w:jc w:val="both"/>
              <w:rPr>
                <w:lang w:val="lv-LV"/>
              </w:rPr>
            </w:pPr>
            <w:r>
              <w:rPr>
                <w:lang w:val="lv-LV"/>
              </w:rPr>
              <w:t xml:space="preserve">3. </w:t>
            </w:r>
            <w:r w:rsidRPr="005C0032" w:rsidR="005C0032">
              <w:rPr>
                <w:lang w:val="lv-LV"/>
              </w:rPr>
              <w:t xml:space="preserve">vai </w:t>
            </w:r>
            <w:r>
              <w:rPr>
                <w:lang w:val="lv-LV"/>
              </w:rPr>
              <w:t>Noteikumu p</w:t>
            </w:r>
            <w:r w:rsidRPr="005C0032" w:rsidR="005C0032">
              <w:rPr>
                <w:lang w:val="lv-LV"/>
              </w:rPr>
              <w:t>rojektā noteiktais termiņš (vismaz trīs gadus) dokumentu glabāšanai i</w:t>
            </w:r>
            <w:r>
              <w:rPr>
                <w:lang w:val="lv-LV"/>
              </w:rPr>
              <w:t>r saistošs arī pašvaldībai.</w:t>
            </w:r>
          </w:p>
        </w:tc>
      </w:tr>
      <w:tr w:rsidRPr="005C0032" w:rsidR="005C0032" w:rsidTr="00EA4381">
        <w:trPr>
          <w:trHeight w:val="821"/>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2.</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lang w:val="lv-LV"/>
              </w:rPr>
            </w:pPr>
            <w:r>
              <w:rPr>
                <w:lang w:val="lv-LV"/>
              </w:rPr>
              <w:t>2.</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5C0032">
            <w:pPr>
              <w:jc w:val="both"/>
              <w:rPr>
                <w:lang w:val="lv-LV"/>
              </w:rPr>
            </w:pPr>
            <w:r>
              <w:rPr>
                <w:lang w:val="lv-LV"/>
              </w:rPr>
              <w:t xml:space="preserve">10. </w:t>
            </w:r>
            <w:r w:rsidRPr="005C0032">
              <w:rPr>
                <w:lang w:val="lv-LV"/>
              </w:rPr>
              <w:t>Svītrot 7.3.apakšpunktā vārdus iekavās „(vecākas par 50 gadiem)”.</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050A3F" w:rsidRDefault="005C0032">
            <w:pPr>
              <w:jc w:val="both"/>
              <w:rPr>
                <w:lang w:val="lv-LV"/>
              </w:rPr>
            </w:pPr>
            <w:r w:rsidRPr="005C0032">
              <w:rPr>
                <w:lang w:val="lv-LV"/>
              </w:rPr>
              <w:t xml:space="preserve">Noteikumu 7.2. apakšpunktā ir paredzēts kritērijs par būves izbūves vecumu. Līdz ar to </w:t>
            </w:r>
            <w:r w:rsidRPr="00050A3F" w:rsidR="00050A3F">
              <w:rPr>
                <w:b/>
                <w:lang w:val="lv-LV"/>
              </w:rPr>
              <w:t>Noteikumu projekta a</w:t>
            </w:r>
            <w:r w:rsidRPr="00050A3F">
              <w:rPr>
                <w:b/>
                <w:lang w:val="lv-LV"/>
              </w:rPr>
              <w:t>notācija būtu jāpapildina ar skaidrojumu, kāpēc šāds kritērijs tiek svītrots tikai vienā gadījumā.</w:t>
            </w:r>
          </w:p>
        </w:tc>
      </w:tr>
      <w:tr w:rsidRPr="005C0032" w:rsidR="005C0032" w:rsidTr="00EA4381">
        <w:trPr>
          <w:trHeight w:val="274"/>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3.</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lang w:val="lv-LV"/>
              </w:rPr>
            </w:pPr>
            <w:r>
              <w:rPr>
                <w:lang w:val="lv-LV"/>
              </w:rPr>
              <w:t>3.-4.</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050A3F">
            <w:pPr>
              <w:jc w:val="both"/>
              <w:rPr>
                <w:lang w:val="lv-LV"/>
              </w:rPr>
            </w:pPr>
            <w:r>
              <w:rPr>
                <w:lang w:val="lv-LV"/>
              </w:rPr>
              <w:t xml:space="preserve">17. </w:t>
            </w:r>
            <w:r w:rsidRPr="005C0032" w:rsidR="005C0032">
              <w:rPr>
                <w:lang w:val="lv-LV"/>
              </w:rPr>
              <w:t>Izteikt 16.5.apakšpunktu šādā redakcijā:</w:t>
            </w:r>
          </w:p>
          <w:p w:rsidRPr="005C0032" w:rsidR="005C0032" w:rsidP="005C0032" w:rsidRDefault="005C0032">
            <w:pPr>
              <w:jc w:val="both"/>
              <w:rPr>
                <w:lang w:val="lv-LV"/>
              </w:rPr>
            </w:pPr>
            <w:r w:rsidRPr="005C0032">
              <w:rPr>
                <w:lang w:val="lv-LV"/>
              </w:rPr>
              <w:t>[..]</w:t>
            </w:r>
          </w:p>
          <w:p w:rsidRPr="005C0032" w:rsidR="005C0032" w:rsidP="005C0032" w:rsidRDefault="00050A3F">
            <w:pPr>
              <w:jc w:val="both"/>
              <w:rPr>
                <w:lang w:val="lv-LV"/>
              </w:rPr>
            </w:pPr>
            <w:r>
              <w:rPr>
                <w:lang w:val="lv-LV"/>
              </w:rPr>
              <w:t xml:space="preserve">18. </w:t>
            </w:r>
            <w:r w:rsidRPr="005C0032" w:rsidR="005C0032">
              <w:rPr>
                <w:lang w:val="lv-LV"/>
              </w:rPr>
              <w:t>Izteikt 16.7. un 16.8.apakšpunktu šādā redakcijā:</w:t>
            </w:r>
          </w:p>
          <w:p w:rsidRPr="005C0032" w:rsidR="005C0032" w:rsidP="005C0032" w:rsidRDefault="005C0032">
            <w:pPr>
              <w:jc w:val="both"/>
              <w:rPr>
                <w:lang w:val="lv-LV"/>
              </w:rPr>
            </w:pPr>
            <w:r w:rsidRPr="005C0032">
              <w:rPr>
                <w:lang w:val="lv-LV"/>
              </w:rPr>
              <w:t>[..]</w:t>
            </w:r>
          </w:p>
          <w:p w:rsidRPr="005C0032" w:rsidR="005C0032" w:rsidP="005C0032" w:rsidRDefault="00050A3F">
            <w:pPr>
              <w:jc w:val="both"/>
              <w:rPr>
                <w:lang w:val="lv-LV"/>
              </w:rPr>
            </w:pPr>
            <w:r>
              <w:rPr>
                <w:lang w:val="lv-LV"/>
              </w:rPr>
              <w:t xml:space="preserve">19. </w:t>
            </w:r>
            <w:r w:rsidRPr="005C0032" w:rsidR="005C0032">
              <w:rPr>
                <w:lang w:val="lv-LV"/>
              </w:rPr>
              <w:t>Papildināt noteikumus ar 16.9., 16.10. un 16.11.apakšpunktu šādā redakcijā:</w:t>
            </w:r>
          </w:p>
          <w:p w:rsidRPr="005C0032" w:rsidR="005C0032" w:rsidP="005C0032" w:rsidRDefault="005C0032">
            <w:pPr>
              <w:jc w:val="both"/>
              <w:rPr>
                <w:lang w:val="lv-LV"/>
              </w:rPr>
            </w:pPr>
            <w:r w:rsidRPr="005C0032">
              <w:rPr>
                <w:lang w:val="lv-LV"/>
              </w:rPr>
              <w:t>[..]</w:t>
            </w:r>
          </w:p>
        </w:tc>
        <w:tc>
          <w:tcPr>
            <w:tcW w:w="7513" w:type="dxa"/>
            <w:tcBorders>
              <w:top w:val="single" w:color="auto" w:sz="4" w:space="0"/>
              <w:left w:val="single" w:color="auto" w:sz="4" w:space="0"/>
              <w:bottom w:val="single" w:color="auto" w:sz="4" w:space="0"/>
              <w:right w:val="single" w:color="auto" w:sz="4" w:space="0"/>
            </w:tcBorders>
          </w:tcPr>
          <w:p w:rsidRPr="00050A3F" w:rsidR="00050A3F" w:rsidP="005C0032" w:rsidRDefault="00050A3F">
            <w:pPr>
              <w:jc w:val="both"/>
              <w:rPr>
                <w:b/>
                <w:lang w:val="lv-LV"/>
              </w:rPr>
            </w:pPr>
            <w:r w:rsidRPr="00050A3F">
              <w:rPr>
                <w:b/>
                <w:lang w:val="lv-LV"/>
              </w:rPr>
              <w:t xml:space="preserve">Rosinām </w:t>
            </w:r>
            <w:r w:rsidRPr="00050A3F" w:rsidR="005C0032">
              <w:rPr>
                <w:b/>
                <w:lang w:val="lv-LV"/>
              </w:rPr>
              <w:t xml:space="preserve">papildināt Noteikumu 16. punktu ar jauno apakšpunktu šādā redakcijā: </w:t>
            </w:r>
          </w:p>
          <w:p w:rsidR="00050A3F" w:rsidP="00050A3F" w:rsidRDefault="00BA2297">
            <w:pPr>
              <w:jc w:val="both"/>
              <w:rPr>
                <w:lang w:val="lv-LV"/>
              </w:rPr>
            </w:pPr>
            <w:r>
              <w:rPr>
                <w:lang w:val="lv-LV"/>
              </w:rPr>
              <w:t>“</w:t>
            </w:r>
            <w:r w:rsidRPr="005C0032" w:rsidR="005C0032">
              <w:rPr>
                <w:i/>
                <w:lang w:val="lv-LV"/>
              </w:rPr>
              <w:t>informācija par veikto kultūrvēsturisko inventarizāciju (datums un apjoms)</w:t>
            </w:r>
            <w:r w:rsidR="00050A3F">
              <w:rPr>
                <w:lang w:val="lv-LV"/>
              </w:rPr>
              <w:t>”.</w:t>
            </w:r>
          </w:p>
          <w:p w:rsidRPr="005C0032" w:rsidR="005C0032" w:rsidP="00050A3F" w:rsidRDefault="00050A3F">
            <w:pPr>
              <w:jc w:val="both"/>
              <w:rPr>
                <w:lang w:val="lv-LV"/>
              </w:rPr>
            </w:pPr>
            <w:r>
              <w:rPr>
                <w:lang w:val="lv-LV"/>
              </w:rPr>
              <w:t>I</w:t>
            </w:r>
            <w:r w:rsidRPr="005C0032" w:rsidR="005C0032">
              <w:rPr>
                <w:lang w:val="lv-LV"/>
              </w:rPr>
              <w:t xml:space="preserve">nformācija par kultūras piemineklim veiktajiem kultūrvēsturiskām inventarizācijām (vai ir veikta, kad un kādā apjomā (visai būvei vai tās daļai)) atvieglos situācijas apzināšanu un nepieciešamās informācijas </w:t>
            </w:r>
            <w:r w:rsidRPr="005C0032" w:rsidR="005C0032">
              <w:rPr>
                <w:lang w:val="lv-LV"/>
              </w:rPr>
              <w:lastRenderedPageBreak/>
              <w:t>izvērtēšanu.</w:t>
            </w:r>
          </w:p>
        </w:tc>
      </w:tr>
      <w:tr w:rsidRPr="005C0032" w:rsidR="005C0032" w:rsidTr="00EA4381">
        <w:trPr>
          <w:trHeight w:val="505"/>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lastRenderedPageBreak/>
              <w:t>4.</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sidRPr="00611A41">
              <w:rPr>
                <w:bCs/>
                <w:lang w:val="lv-LV"/>
              </w:rPr>
              <w:t>5.-7.,10.</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050A3F">
            <w:pPr>
              <w:jc w:val="both"/>
              <w:rPr>
                <w:lang w:val="lv-LV"/>
              </w:rPr>
            </w:pPr>
            <w:r>
              <w:rPr>
                <w:lang w:val="lv-LV"/>
              </w:rPr>
              <w:t xml:space="preserve">23. </w:t>
            </w:r>
            <w:r w:rsidRPr="005C0032" w:rsidR="005C0032">
              <w:rPr>
                <w:lang w:val="lv-LV"/>
              </w:rPr>
              <w:t>Aizstāt 21.punktā vārdus „restaurācijas vai rekonstrukcijas” ar vārdiem „</w:t>
            </w:r>
            <w:r w:rsidRPr="005C0032" w:rsidR="005C0032">
              <w:rPr>
                <w:u w:val="single"/>
                <w:lang w:val="lv-LV"/>
              </w:rPr>
              <w:t>konservācijas, restaurācijas vai pārveidošanas</w:t>
            </w:r>
            <w:r w:rsidRPr="005C0032" w:rsidR="005C0032">
              <w:rPr>
                <w:lang w:val="lv-LV"/>
              </w:rPr>
              <w:t>” un vārdus „fotofiksācija” ar vārdiem „vizuālā fiksācija” attiecīgā locījumā.</w:t>
            </w:r>
          </w:p>
          <w:p w:rsidRPr="005C0032" w:rsidR="005C0032" w:rsidP="005C0032" w:rsidRDefault="005C0032">
            <w:pPr>
              <w:jc w:val="both"/>
              <w:rPr>
                <w:lang w:val="lv-LV"/>
              </w:rPr>
            </w:pPr>
            <w:r w:rsidRPr="005C0032">
              <w:rPr>
                <w:lang w:val="lv-LV"/>
              </w:rPr>
              <w:t>[..]</w:t>
            </w:r>
          </w:p>
          <w:p w:rsidRPr="005C0032" w:rsidR="005C0032" w:rsidP="005C0032" w:rsidRDefault="00050A3F">
            <w:pPr>
              <w:jc w:val="both"/>
              <w:rPr>
                <w:lang w:val="lv-LV"/>
              </w:rPr>
            </w:pPr>
            <w:r>
              <w:rPr>
                <w:lang w:val="lv-LV"/>
              </w:rPr>
              <w:t xml:space="preserve">28. </w:t>
            </w:r>
            <w:r w:rsidRPr="005C0032" w:rsidR="005C0032">
              <w:rPr>
                <w:lang w:val="lv-LV"/>
              </w:rPr>
              <w:t xml:space="preserve">Izteikt 29. un </w:t>
            </w:r>
            <w:r w:rsidRPr="005C0032" w:rsidR="005C0032">
              <w:rPr>
                <w:u w:val="single"/>
                <w:lang w:val="lv-LV"/>
              </w:rPr>
              <w:t>30.punktu</w:t>
            </w:r>
            <w:r w:rsidRPr="005C0032" w:rsidR="005C0032">
              <w:rPr>
                <w:lang w:val="lv-LV"/>
              </w:rPr>
              <w:t xml:space="preserve"> šādā redakcijā:</w:t>
            </w:r>
          </w:p>
          <w:p w:rsidRPr="005C0032" w:rsidR="005C0032" w:rsidP="005C0032" w:rsidRDefault="005C0032">
            <w:pPr>
              <w:jc w:val="both"/>
              <w:rPr>
                <w:lang w:val="lv-LV"/>
              </w:rPr>
            </w:pPr>
            <w:r w:rsidRPr="005C0032">
              <w:rPr>
                <w:lang w:val="lv-LV"/>
              </w:rPr>
              <w:t>[..]</w:t>
            </w:r>
          </w:p>
          <w:p w:rsidRPr="005C0032" w:rsidR="005C0032" w:rsidP="005C0032" w:rsidRDefault="00050A3F">
            <w:pPr>
              <w:jc w:val="both"/>
              <w:rPr>
                <w:lang w:val="lv-LV"/>
              </w:rPr>
            </w:pPr>
            <w:r>
              <w:rPr>
                <w:lang w:val="lv-LV"/>
              </w:rPr>
              <w:t xml:space="preserve">35. </w:t>
            </w:r>
            <w:r w:rsidRPr="005C0032" w:rsidR="005C0032">
              <w:rPr>
                <w:lang w:val="lv-LV"/>
              </w:rPr>
              <w:t xml:space="preserve">Izteikt </w:t>
            </w:r>
            <w:r w:rsidRPr="005C0032" w:rsidR="005C0032">
              <w:rPr>
                <w:u w:val="single"/>
                <w:lang w:val="lv-LV"/>
              </w:rPr>
              <w:t>44</w:t>
            </w:r>
            <w:r w:rsidRPr="005C0032" w:rsidR="005C0032">
              <w:rPr>
                <w:lang w:val="lv-LV"/>
              </w:rPr>
              <w:t xml:space="preserve">., 45. un 46.punktu šādā redakcijā: </w:t>
            </w:r>
          </w:p>
          <w:p w:rsidRPr="005C0032" w:rsidR="005C0032" w:rsidP="005C0032" w:rsidRDefault="005C0032">
            <w:pPr>
              <w:jc w:val="both"/>
              <w:rPr>
                <w:lang w:val="lv-LV"/>
              </w:rPr>
            </w:pPr>
            <w:r w:rsidRPr="005C0032">
              <w:rPr>
                <w:lang w:val="lv-LV"/>
              </w:rPr>
              <w:t>[..]</w:t>
            </w:r>
          </w:p>
          <w:p w:rsidRPr="005C0032" w:rsidR="005C0032" w:rsidP="005C0032" w:rsidRDefault="00050A3F">
            <w:pPr>
              <w:jc w:val="both"/>
              <w:rPr>
                <w:lang w:val="lv-LV"/>
              </w:rPr>
            </w:pPr>
            <w:r>
              <w:rPr>
                <w:lang w:val="lv-LV"/>
              </w:rPr>
              <w:t xml:space="preserve">38. </w:t>
            </w:r>
            <w:r w:rsidRPr="005C0032" w:rsidR="005C0032">
              <w:rPr>
                <w:lang w:val="lv-LV"/>
              </w:rPr>
              <w:t>Izteikt V nodaļu šādā redakcijā:</w:t>
            </w:r>
          </w:p>
          <w:p w:rsidRPr="005C0032" w:rsidR="005C0032" w:rsidP="005C0032" w:rsidRDefault="005C0032">
            <w:pPr>
              <w:jc w:val="both"/>
              <w:rPr>
                <w:lang w:val="lv-LV"/>
              </w:rPr>
            </w:pPr>
            <w:r w:rsidRPr="005C0032">
              <w:rPr>
                <w:lang w:val="lv-LV"/>
              </w:rPr>
              <w:t xml:space="preserve">„V. Kultūras pieminekļu remonts (labošana), </w:t>
            </w:r>
            <w:r w:rsidRPr="005C0032">
              <w:rPr>
                <w:u w:val="single"/>
                <w:lang w:val="lv-LV"/>
              </w:rPr>
              <w:t>konservācija, restaurācija un pārveidošana”</w:t>
            </w:r>
          </w:p>
          <w:p w:rsidRPr="005C0032" w:rsidR="005C0032" w:rsidP="005C0032" w:rsidRDefault="005C0032">
            <w:pPr>
              <w:jc w:val="both"/>
              <w:rPr>
                <w:lang w:val="lv-LV"/>
              </w:rPr>
            </w:pPr>
            <w:r w:rsidRPr="005C0032">
              <w:rPr>
                <w:lang w:val="lv-LV"/>
              </w:rPr>
              <w:t>[..]</w:t>
            </w:r>
          </w:p>
          <w:p w:rsidRPr="005C0032" w:rsidR="005C0032" w:rsidP="005C0032" w:rsidRDefault="00050A3F">
            <w:pPr>
              <w:jc w:val="both"/>
              <w:rPr>
                <w:lang w:val="lv-LV"/>
              </w:rPr>
            </w:pPr>
            <w:r>
              <w:rPr>
                <w:lang w:val="lv-LV"/>
              </w:rPr>
              <w:t xml:space="preserve">39. </w:t>
            </w:r>
            <w:r w:rsidRPr="005C0032" w:rsidR="005C0032">
              <w:rPr>
                <w:lang w:val="lv-LV"/>
              </w:rPr>
              <w:t>Aizstāt 61.punktā vārdus „restaurācijas un konservācijas” ar vārdiem „konservācijas, restaurācijas vai pārveidošanas”.</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050A3F" w:rsidRDefault="00050A3F">
            <w:pPr>
              <w:jc w:val="both"/>
              <w:rPr>
                <w:lang w:val="lv-LV"/>
              </w:rPr>
            </w:pPr>
            <w:r w:rsidRPr="00050A3F">
              <w:rPr>
                <w:b/>
                <w:lang w:val="lv-LV"/>
              </w:rPr>
              <w:t>Ir jāprecizē Noteikumu p</w:t>
            </w:r>
            <w:r w:rsidRPr="00050A3F" w:rsidR="005C0032">
              <w:rPr>
                <w:b/>
                <w:lang w:val="lv-LV"/>
              </w:rPr>
              <w:t>rojekts attiecībā uz jautājumu par nepieciešamajām atļaujām, kad būvniecība tiek veikta kultūras piemineklī.</w:t>
            </w:r>
            <w:r w:rsidRPr="005C0032" w:rsidR="005C0032">
              <w:rPr>
                <w:lang w:val="lv-LV"/>
              </w:rPr>
              <w:t xml:space="preserve"> </w:t>
            </w:r>
            <w:r w:rsidRPr="00050A3F">
              <w:rPr>
                <w:u w:val="single"/>
                <w:lang w:val="lv-LV"/>
              </w:rPr>
              <w:t>Ir jāvienkāršo n</w:t>
            </w:r>
            <w:r w:rsidRPr="00050A3F" w:rsidR="005C0032">
              <w:rPr>
                <w:u w:val="single"/>
                <w:lang w:val="lv-LV"/>
              </w:rPr>
              <w:t>oteikumu piemērošana, nosakot kārtību, kas personām ir jādara, kad veicamajai darbībai ir jāsaņem būvvaldes saskaņojums, un kas jādara, kad būvvaldes saskaņojums nav nepiec</w:t>
            </w:r>
            <w:r w:rsidRPr="00050A3F">
              <w:rPr>
                <w:u w:val="single"/>
                <w:lang w:val="lv-LV"/>
              </w:rPr>
              <w:t>iešams.</w:t>
            </w:r>
            <w:r>
              <w:rPr>
                <w:lang w:val="lv-LV"/>
              </w:rPr>
              <w:t xml:space="preserve"> B</w:t>
            </w:r>
            <w:r w:rsidRPr="005C0032" w:rsidR="005C0032">
              <w:rPr>
                <w:lang w:val="lv-LV"/>
              </w:rPr>
              <w:t>ūvniecības gadījumā atļauja var tikt sniegta kā saskaņojums uz būvniecības ieceres dokumentācijas, turklāt būvniecības gadījumā personai pietiktu ar nepieciešamās būvniecības ieceres dokumentācijas izstrādi. Savukārt, ja plānotajām darbībām nav nepi</w:t>
            </w:r>
            <w:r>
              <w:rPr>
                <w:lang w:val="lv-LV"/>
              </w:rPr>
              <w:t xml:space="preserve">eciešams būvvaldes saskaņojums, </w:t>
            </w:r>
            <w:r w:rsidRPr="005C0032" w:rsidR="005C0032">
              <w:rPr>
                <w:lang w:val="lv-LV"/>
              </w:rPr>
              <w:t xml:space="preserve">tad </w:t>
            </w:r>
            <w:r>
              <w:rPr>
                <w:lang w:val="lv-LV"/>
              </w:rPr>
              <w:t>n</w:t>
            </w:r>
            <w:r w:rsidRPr="005C0032" w:rsidR="005C0032">
              <w:rPr>
                <w:lang w:val="lv-LV"/>
              </w:rPr>
              <w:t>oteikumos būtu jānosaka, kādi dokumenti ir jāiesniedz atļaujas saņemšanai.</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5.</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5.</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050A3F">
            <w:pPr>
              <w:jc w:val="both"/>
              <w:rPr>
                <w:lang w:val="lv-LV"/>
              </w:rPr>
            </w:pPr>
            <w:r>
              <w:rPr>
                <w:lang w:val="lv-LV"/>
              </w:rPr>
              <w:t xml:space="preserve">24. </w:t>
            </w:r>
            <w:r w:rsidRPr="005C0032" w:rsidR="005C0032">
              <w:rPr>
                <w:lang w:val="lv-LV"/>
              </w:rPr>
              <w:t>Izteikt 22.punktu šāda redakcijā:</w:t>
            </w:r>
          </w:p>
          <w:p w:rsidRPr="005C0032" w:rsidR="005C0032" w:rsidP="005C0032" w:rsidRDefault="00050A3F">
            <w:pPr>
              <w:jc w:val="both"/>
              <w:rPr>
                <w:lang w:val="lv-LV"/>
              </w:rPr>
            </w:pPr>
            <w:r>
              <w:rPr>
                <w:lang w:val="lv-LV"/>
              </w:rPr>
              <w:t xml:space="preserve">„22. </w:t>
            </w:r>
            <w:r w:rsidRPr="005C0032" w:rsidR="005C0032">
              <w:rPr>
                <w:lang w:val="lv-LV"/>
              </w:rPr>
              <w:t xml:space="preserve">Ja kultūrvēsturisko inventarizāciju vai kultūrvēsturisko izpēti paredzēts </w:t>
            </w:r>
            <w:r w:rsidRPr="005C0032" w:rsidR="005C0032">
              <w:rPr>
                <w:u w:val="single"/>
                <w:lang w:val="lv-LV"/>
              </w:rPr>
              <w:t xml:space="preserve">veikt ar metodēm, kuras var pārveidot kultūras pieminekli </w:t>
            </w:r>
            <w:r w:rsidRPr="005C0032" w:rsidR="005C0032">
              <w:rPr>
                <w:lang w:val="lv-LV"/>
              </w:rPr>
              <w:t>(piemēram, zondāža, šurfi, izrakumi), to drīkst uzsākt tikai pēc atļaujas saņemšanas. Atļauju mēneša laikā no iesnieguma saņemšanas brīža valsts un reģiona nozīmes kultūras pieminekļiem izsniedz pārvalde, bet vietējās nozīmes kultūras pieminekļiem pašvaldība.”.</w:t>
            </w:r>
          </w:p>
          <w:p w:rsidRPr="005C0032" w:rsidR="005C0032" w:rsidP="005C0032" w:rsidRDefault="00611A41">
            <w:pPr>
              <w:jc w:val="both"/>
              <w:rPr>
                <w:lang w:val="lv-LV"/>
              </w:rPr>
            </w:pPr>
            <w:r>
              <w:rPr>
                <w:lang w:val="lv-LV"/>
              </w:rPr>
              <w:t>[..]</w:t>
            </w:r>
          </w:p>
          <w:p w:rsidR="005C0032" w:rsidP="005C0032" w:rsidRDefault="00050A3F">
            <w:pPr>
              <w:jc w:val="both"/>
              <w:rPr>
                <w:lang w:val="lv-LV"/>
              </w:rPr>
            </w:pPr>
            <w:r>
              <w:rPr>
                <w:lang w:val="lv-LV"/>
              </w:rPr>
              <w:t xml:space="preserve">26. </w:t>
            </w:r>
            <w:r w:rsidRPr="005C0032" w:rsidR="005C0032">
              <w:rPr>
                <w:lang w:val="lv-LV"/>
              </w:rPr>
              <w:t>Izteikt 26. un 27.punktu šādā redakcijā:</w:t>
            </w:r>
          </w:p>
          <w:p w:rsidRPr="005C0032" w:rsidR="00611A41" w:rsidP="005C0032" w:rsidRDefault="00611A41">
            <w:pPr>
              <w:jc w:val="both"/>
              <w:rPr>
                <w:lang w:val="lv-LV"/>
              </w:rPr>
            </w:pPr>
            <w:r>
              <w:rPr>
                <w:lang w:val="lv-LV"/>
              </w:rPr>
              <w:t>[..]</w:t>
            </w:r>
          </w:p>
          <w:p w:rsidRPr="005C0032" w:rsidR="005C0032" w:rsidP="005C0032" w:rsidRDefault="00050A3F">
            <w:pPr>
              <w:jc w:val="both"/>
              <w:rPr>
                <w:lang w:val="lv-LV"/>
              </w:rPr>
            </w:pPr>
            <w:r>
              <w:rPr>
                <w:lang w:val="lv-LV"/>
              </w:rPr>
              <w:t xml:space="preserve">27. </w:t>
            </w:r>
            <w:r w:rsidRPr="005C0032" w:rsidR="005C0032">
              <w:rPr>
                <w:lang w:val="lv-LV"/>
              </w:rPr>
              <w:t xml:space="preserve">Fiziskās un juridiskās personas, kuras </w:t>
            </w:r>
            <w:r w:rsidRPr="005C0032" w:rsidR="005C0032">
              <w:rPr>
                <w:u w:val="single"/>
                <w:lang w:val="lv-LV"/>
              </w:rPr>
              <w:t>veic kultūras pieminekļa kultūrvēsturisko izpēti vai kultūrvēsturisko inventarizāciju,</w:t>
            </w:r>
            <w:r w:rsidRPr="005C0032" w:rsidR="005C0032">
              <w:rPr>
                <w:lang w:val="lv-LV"/>
              </w:rPr>
              <w:t xml:space="preserve"> par valsts un reģiona nozīmes kultūras pieminekļiem pārvaldē, bet par vietējās nozīmes kultūras pieminekļiem pašvaldībā iesniedz:</w:t>
            </w:r>
          </w:p>
        </w:tc>
        <w:tc>
          <w:tcPr>
            <w:tcW w:w="7513" w:type="dxa"/>
            <w:tcBorders>
              <w:top w:val="single" w:color="auto" w:sz="4" w:space="0"/>
              <w:left w:val="single" w:color="auto" w:sz="4" w:space="0"/>
              <w:bottom w:val="single" w:color="auto" w:sz="4" w:space="0"/>
              <w:right w:val="single" w:color="auto" w:sz="4" w:space="0"/>
            </w:tcBorders>
          </w:tcPr>
          <w:p w:rsidRPr="00050A3F" w:rsidR="005C0032" w:rsidP="00BA2297" w:rsidRDefault="00050A3F">
            <w:pPr>
              <w:jc w:val="both"/>
              <w:rPr>
                <w:b/>
                <w:lang w:val="lv-LV"/>
              </w:rPr>
            </w:pPr>
            <w:r w:rsidRPr="00050A3F">
              <w:rPr>
                <w:b/>
                <w:lang w:val="lv-LV"/>
              </w:rPr>
              <w:t xml:space="preserve">Lūdzam precizēt </w:t>
            </w:r>
            <w:r w:rsidRPr="00050A3F" w:rsidR="005C0032">
              <w:rPr>
                <w:b/>
                <w:lang w:val="lv-LV"/>
              </w:rPr>
              <w:t>22. un 27. punktu</w:t>
            </w:r>
            <w:r w:rsidRPr="00050A3F" w:rsidR="00BA2297">
              <w:rPr>
                <w:b/>
                <w:lang w:val="lv-LV"/>
              </w:rPr>
              <w:t xml:space="preserve"> atbilstoši Noteikumu projektam</w:t>
            </w:r>
            <w:r w:rsidRPr="00050A3F" w:rsidR="005C0032">
              <w:rPr>
                <w:b/>
                <w:lang w:val="lv-LV"/>
              </w:rPr>
              <w:t>, nosakot, vai atļauja ir nepieciešama visos gadījumos, kad tiks veikta kultūras pieminekļa kultūrvēsturiskā izpēte vai kultūrvēsturiskā inventarizācija, vai arī tikai, ja to veikšanā tiks izmantotas metodes, kuras var pārveidot kultūras pieminekli.</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6.</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5.</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050A3F">
            <w:pPr>
              <w:jc w:val="both"/>
              <w:rPr>
                <w:lang w:val="lv-LV"/>
              </w:rPr>
            </w:pPr>
            <w:r>
              <w:rPr>
                <w:lang w:val="lv-LV"/>
              </w:rPr>
              <w:t xml:space="preserve">25. </w:t>
            </w:r>
            <w:r w:rsidRPr="005C0032" w:rsidR="005C0032">
              <w:rPr>
                <w:lang w:val="lv-LV"/>
              </w:rPr>
              <w:t>Papildināt 24.punktu ar otro teikumu šādā redakcijā:</w:t>
            </w:r>
          </w:p>
          <w:p w:rsidRPr="005C0032" w:rsidR="005C0032" w:rsidP="005C0032" w:rsidRDefault="005C0032">
            <w:pPr>
              <w:jc w:val="both"/>
              <w:rPr>
                <w:lang w:val="lv-LV"/>
              </w:rPr>
            </w:pPr>
            <w:r w:rsidRPr="005C0032">
              <w:rPr>
                <w:lang w:val="lv-LV"/>
              </w:rPr>
              <w:t>„Mēneša laikā no iesnieguma saņemšanas brīža atļauju valsts un reģiona nozīmes kultūras pieminekļiem izsniedz pārvalde, bet vietējās nozīmes kultūras pieminekļiem pašvaldība.”.</w:t>
            </w:r>
          </w:p>
          <w:p w:rsidRPr="005C0032" w:rsidR="005C0032" w:rsidP="005C0032" w:rsidRDefault="00050A3F">
            <w:pPr>
              <w:jc w:val="both"/>
              <w:rPr>
                <w:lang w:val="lv-LV"/>
              </w:rPr>
            </w:pPr>
            <w:r>
              <w:rPr>
                <w:lang w:val="lv-LV"/>
              </w:rPr>
              <w:lastRenderedPageBreak/>
              <w:t xml:space="preserve">26. </w:t>
            </w:r>
            <w:r w:rsidRPr="005C0032" w:rsidR="005C0032">
              <w:rPr>
                <w:lang w:val="lv-LV"/>
              </w:rPr>
              <w:t>Izteikt 26. un 27.punktu šādā redakcijā:</w:t>
            </w:r>
          </w:p>
          <w:p w:rsidRPr="005C0032" w:rsidR="005C0032" w:rsidP="005C0032" w:rsidRDefault="00050A3F">
            <w:pPr>
              <w:jc w:val="both"/>
              <w:rPr>
                <w:lang w:val="lv-LV"/>
              </w:rPr>
            </w:pPr>
            <w:r>
              <w:rPr>
                <w:lang w:val="lv-LV"/>
              </w:rPr>
              <w:t xml:space="preserve">„26. </w:t>
            </w:r>
            <w:r w:rsidRPr="005C0032" w:rsidR="005C0032">
              <w:rPr>
                <w:lang w:val="lv-LV"/>
              </w:rPr>
              <w:t xml:space="preserve">Ja nepieciešams, pārvalde valsts un reģiona nozīmes kultūras pieminekļiem, bet pašvaldība vietējās nozīmes pieminekļiem </w:t>
            </w:r>
            <w:r w:rsidRPr="005C0032" w:rsidR="005C0032">
              <w:rPr>
                <w:u w:val="single"/>
                <w:lang w:val="lv-LV"/>
              </w:rPr>
              <w:t>paredz īpašus arheoloģisko darbu veikšanas nosacījumus,</w:t>
            </w:r>
            <w:r w:rsidRPr="005C0032" w:rsidR="005C0032">
              <w:rPr>
                <w:lang w:val="lv-LV"/>
              </w:rPr>
              <w:t xml:space="preserve"> lai saglabātu neskartas atsevišķas arheoloģisko pieminekļu daļas vai atjaunotu to ārējo veidolu kā kultūrvēsturiskās vides sastāvdaļu. Īpašos arheoloģisko darbu veikšanas nosacījumus ieraksta pārvaldes (pašvaldības) izsniegtajā arheoloģiskās izpētes darbu atļaujā.</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5C0032" w:rsidRDefault="00050A3F">
            <w:pPr>
              <w:jc w:val="both"/>
              <w:rPr>
                <w:lang w:val="lv-LV"/>
              </w:rPr>
            </w:pPr>
            <w:r>
              <w:rPr>
                <w:lang w:val="lv-LV"/>
              </w:rPr>
              <w:lastRenderedPageBreak/>
              <w:t>Ņemot vērā, ka Noteikumu p</w:t>
            </w:r>
            <w:r w:rsidRPr="005C0032" w:rsidR="005C0032">
              <w:rPr>
                <w:lang w:val="lv-LV"/>
              </w:rPr>
              <w:t>rojektā pašvaldībai uzlikto pienākumu izpildei ir nepiec</w:t>
            </w:r>
            <w:r>
              <w:rPr>
                <w:lang w:val="lv-LV"/>
              </w:rPr>
              <w:t xml:space="preserve">iešams arheologs, </w:t>
            </w:r>
            <w:r w:rsidRPr="00050A3F">
              <w:rPr>
                <w:b/>
                <w:lang w:val="lv-LV"/>
              </w:rPr>
              <w:t>ir jāizvērtē Noteikumu p</w:t>
            </w:r>
            <w:r>
              <w:rPr>
                <w:b/>
                <w:lang w:val="lv-LV"/>
              </w:rPr>
              <w:t>rojekta ietekme uz n</w:t>
            </w:r>
            <w:r w:rsidRPr="00050A3F" w:rsidR="005C0032">
              <w:rPr>
                <w:b/>
                <w:lang w:val="lv-LV"/>
              </w:rPr>
              <w:t>oteikumu piemērošanu.</w:t>
            </w:r>
            <w:r w:rsidRPr="005C0032" w:rsidR="005C0032">
              <w:rPr>
                <w:lang w:val="lv-LV"/>
              </w:rPr>
              <w:t xml:space="preserve"> Proti, vai pašvaldībām būs jānodarbina arheologs, vai arī Nacionālā kultūras mantojuma pārvalde saglabā </w:t>
            </w:r>
            <w:r w:rsidRPr="005C0032" w:rsidR="005C0032">
              <w:rPr>
                <w:lang w:val="lv-LV"/>
              </w:rPr>
              <w:lastRenderedPageBreak/>
              <w:t xml:space="preserve">kompetenci uz arheoloģiskās izpētes darbiem. </w:t>
            </w:r>
          </w:p>
          <w:p w:rsidRPr="005C0032" w:rsidR="005C0032" w:rsidP="005C0032" w:rsidRDefault="00050A3F">
            <w:pPr>
              <w:jc w:val="both"/>
              <w:rPr>
                <w:lang w:val="lv-LV"/>
              </w:rPr>
            </w:pPr>
            <w:r>
              <w:rPr>
                <w:lang w:val="lv-LV"/>
              </w:rPr>
              <w:t>M</w:t>
            </w:r>
            <w:r w:rsidRPr="005C0032" w:rsidR="005C0032">
              <w:rPr>
                <w:lang w:val="lv-LV"/>
              </w:rPr>
              <w:t>inētais jautājum</w:t>
            </w:r>
            <w:r>
              <w:rPr>
                <w:lang w:val="lv-LV"/>
              </w:rPr>
              <w:t>s ir aktuāls arī jautājumā par n</w:t>
            </w:r>
            <w:r w:rsidRPr="005C0032" w:rsidR="005C0032">
              <w:rPr>
                <w:lang w:val="lv-LV"/>
              </w:rPr>
              <w:t>oteikumu 8. punkta piemērošanu (mākslinieks, kustami pieminekli).</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lastRenderedPageBreak/>
              <w:t>7.</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5.,9.</w:t>
            </w:r>
          </w:p>
        </w:tc>
        <w:tc>
          <w:tcPr>
            <w:tcW w:w="6237" w:type="dxa"/>
            <w:tcBorders>
              <w:top w:val="single" w:color="auto" w:sz="4" w:space="0"/>
              <w:left w:val="single" w:color="auto" w:sz="4" w:space="0"/>
              <w:bottom w:val="single" w:color="auto" w:sz="4" w:space="0"/>
              <w:right w:val="single" w:color="auto" w:sz="4" w:space="0"/>
            </w:tcBorders>
          </w:tcPr>
          <w:p w:rsidR="005C0032" w:rsidP="005C0032" w:rsidRDefault="00050A3F">
            <w:pPr>
              <w:jc w:val="both"/>
              <w:rPr>
                <w:lang w:val="lv-LV"/>
              </w:rPr>
            </w:pPr>
            <w:r>
              <w:rPr>
                <w:lang w:val="lv-LV"/>
              </w:rPr>
              <w:t xml:space="preserve">26. </w:t>
            </w:r>
            <w:r w:rsidRPr="005C0032" w:rsidR="005C0032">
              <w:rPr>
                <w:lang w:val="lv-LV"/>
              </w:rPr>
              <w:t>Izteikt 26. un 27.punktu šādā redakcijā:</w:t>
            </w:r>
          </w:p>
          <w:p w:rsidRPr="005C0032" w:rsidR="00611A41" w:rsidP="005C0032" w:rsidRDefault="00611A41">
            <w:pPr>
              <w:jc w:val="both"/>
              <w:rPr>
                <w:lang w:val="lv-LV"/>
              </w:rPr>
            </w:pPr>
            <w:r>
              <w:rPr>
                <w:lang w:val="lv-LV"/>
              </w:rPr>
              <w:t>[..]</w:t>
            </w:r>
          </w:p>
          <w:p w:rsidRPr="005C0032" w:rsidR="005C0032" w:rsidP="005C0032" w:rsidRDefault="005C0032">
            <w:pPr>
              <w:jc w:val="both"/>
              <w:rPr>
                <w:lang w:val="lv-LV"/>
              </w:rPr>
            </w:pPr>
            <w:r w:rsidRPr="005C0032">
              <w:rPr>
                <w:lang w:val="lv-LV"/>
              </w:rPr>
              <w:t>27. Fiziskās un juridiskās personas, kuras veic kultūras pieminekļa kultūrvēsturisko izpēti vai kultūrvēsturisko inventarizāciju, par valsts un reģiona nozīmes kultūras pieminekļiem pārvaldē, bet par vietējās nozīmes kultūras pieminekļiem pašvaldībā iesniedz:</w:t>
            </w:r>
          </w:p>
          <w:p w:rsidRPr="00FC6F2A" w:rsidR="005C0032" w:rsidP="005C0032" w:rsidRDefault="005C0032">
            <w:pPr>
              <w:jc w:val="both"/>
              <w:rPr>
                <w:color w:val="000000"/>
                <w:u w:val="single"/>
                <w:lang w:val="lv-LV"/>
              </w:rPr>
            </w:pPr>
            <w:r w:rsidRPr="00FC6F2A">
              <w:rPr>
                <w:color w:val="000000"/>
                <w:lang w:val="lv-LV"/>
              </w:rPr>
              <w:t xml:space="preserve">27.2. </w:t>
            </w:r>
            <w:r w:rsidRPr="00FC6F2A">
              <w:rPr>
                <w:color w:val="000000"/>
                <w:u w:val="single"/>
                <w:lang w:val="lv-LV"/>
              </w:rPr>
              <w:t>informāciju, kas apliecina kultūrvēsturiskās izpētes vai kultūrvēsturiskās inventarizācijas darbu vadītāja kompetenci.”.</w:t>
            </w:r>
          </w:p>
          <w:p w:rsidRPr="00FC6F2A" w:rsidR="005C0032" w:rsidP="005C0032" w:rsidRDefault="00050A3F">
            <w:pPr>
              <w:jc w:val="both"/>
              <w:rPr>
                <w:color w:val="000000"/>
                <w:lang w:val="lv-LV"/>
              </w:rPr>
            </w:pPr>
            <w:r w:rsidRPr="00FC6F2A">
              <w:rPr>
                <w:color w:val="000000"/>
                <w:lang w:val="lv-LV"/>
              </w:rPr>
              <w:t>[..]</w:t>
            </w:r>
          </w:p>
          <w:p w:rsidRPr="005C0032" w:rsidR="005C0032" w:rsidP="005C0032" w:rsidRDefault="005C0032">
            <w:pPr>
              <w:jc w:val="both"/>
              <w:rPr>
                <w:lang w:val="lv-LV"/>
              </w:rPr>
            </w:pPr>
            <w:r w:rsidRPr="005C0032">
              <w:rPr>
                <w:lang w:val="lv-LV"/>
              </w:rPr>
              <w:t>38.</w:t>
            </w:r>
            <w:r w:rsidRPr="005C0032">
              <w:rPr>
                <w:lang w:val="lv-LV"/>
              </w:rPr>
              <w:tab/>
              <w:t>Izteikt V nodaļu šādā redakcijā:</w:t>
            </w:r>
          </w:p>
          <w:p w:rsidRPr="005C0032" w:rsidR="005C0032" w:rsidP="005C0032" w:rsidRDefault="005C0032">
            <w:pPr>
              <w:jc w:val="both"/>
              <w:rPr>
                <w:lang w:val="lv-LV"/>
              </w:rPr>
            </w:pPr>
            <w:r w:rsidRPr="005C0032">
              <w:rPr>
                <w:lang w:val="lv-LV"/>
              </w:rPr>
              <w:t>„V. Kultūras pieminekļu remonts (labošana), konservācija, restaurācija un pārveidošana</w:t>
            </w:r>
          </w:p>
          <w:p w:rsidRPr="005C0032" w:rsidR="005C0032" w:rsidP="005C0032" w:rsidRDefault="005C0032">
            <w:pPr>
              <w:jc w:val="both"/>
              <w:rPr>
                <w:lang w:val="lv-LV"/>
              </w:rPr>
            </w:pPr>
            <w:r w:rsidRPr="005C0032">
              <w:rPr>
                <w:lang w:val="lv-LV"/>
              </w:rPr>
              <w:t xml:space="preserve">56. Kultūras pieminekļa konservāciju, restaurāciju un pārveidošanu drīkst veikt </w:t>
            </w:r>
            <w:r w:rsidRPr="005C0032">
              <w:rPr>
                <w:u w:val="single"/>
                <w:lang w:val="lv-LV"/>
              </w:rPr>
              <w:t>tikai kompetenta speciālista vadībā.</w:t>
            </w:r>
            <w:r w:rsidRPr="005C0032">
              <w:rPr>
                <w:lang w:val="lv-LV"/>
              </w:rPr>
              <w:t xml:space="preserve"> Kompetenci pamato atbilstošs kvalifikāciju apliecinošs dokuments. Darbam arheoloģiskajos pieminekļos pieaicina arheologus.</w:t>
            </w:r>
          </w:p>
          <w:p w:rsidRPr="005C0032" w:rsidR="005C0032" w:rsidP="005C0032" w:rsidRDefault="00050A3F">
            <w:pPr>
              <w:jc w:val="both"/>
              <w:rPr>
                <w:lang w:val="lv-LV"/>
              </w:rPr>
            </w:pPr>
            <w:r>
              <w:rPr>
                <w:lang w:val="lv-LV"/>
              </w:rPr>
              <w:t>[..]</w:t>
            </w:r>
          </w:p>
          <w:p w:rsidRPr="00050A3F" w:rsidR="005C0032" w:rsidP="005C0032" w:rsidRDefault="00050A3F">
            <w:pPr>
              <w:jc w:val="both"/>
              <w:rPr>
                <w:b/>
                <w:lang w:val="lv-LV"/>
              </w:rPr>
            </w:pPr>
            <w:r w:rsidRPr="00050A3F">
              <w:rPr>
                <w:b/>
                <w:lang w:val="lv-LV"/>
              </w:rPr>
              <w:t>Noteikumu p</w:t>
            </w:r>
            <w:r w:rsidRPr="00050A3F" w:rsidR="005C0032">
              <w:rPr>
                <w:b/>
                <w:lang w:val="lv-LV"/>
              </w:rPr>
              <w:t xml:space="preserve">rojekts neparedz </w:t>
            </w:r>
            <w:r w:rsidRPr="00050A3F">
              <w:rPr>
                <w:b/>
                <w:lang w:val="lv-LV"/>
              </w:rPr>
              <w:t>grozījumus:</w:t>
            </w:r>
          </w:p>
          <w:p w:rsidRPr="005C0032" w:rsidR="005C0032" w:rsidP="005C0032" w:rsidRDefault="005C0032">
            <w:pPr>
              <w:jc w:val="both"/>
              <w:rPr>
                <w:lang w:val="lv-LV"/>
              </w:rPr>
            </w:pPr>
            <w:r w:rsidRPr="005C0032">
              <w:rPr>
                <w:lang w:val="lv-LV"/>
              </w:rPr>
              <w:t xml:space="preserve">24. Arheoloģiskās izpētes darbus (arheoloģiskos izrakumus un arheoloģiskās uzraudzības darbus, kā arī arheoloģisko objektu apzināšanu, ja tā saistīta ar iejaukšanos kultūras piemineklī) drīkst vadīt tikai </w:t>
            </w:r>
            <w:r w:rsidRPr="005C0032">
              <w:rPr>
                <w:u w:val="single"/>
                <w:lang w:val="lv-LV"/>
              </w:rPr>
              <w:t>kvalificēti speciālisti, kuri ieguvuši augstāko humanitāro izglītību, kuriem ir divu gadu pieredze arheoloģiskās izpētes darbos</w:t>
            </w:r>
            <w:r w:rsidRPr="005C0032">
              <w:rPr>
                <w:lang w:val="lv-LV"/>
              </w:rPr>
              <w:t xml:space="preserve"> un kuri saņēmuši inspekcijas </w:t>
            </w:r>
            <w:r w:rsidRPr="005C0032">
              <w:rPr>
                <w:lang w:val="lv-LV"/>
              </w:rPr>
              <w:lastRenderedPageBreak/>
              <w:t>atļauju (2.pielikums).</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5C0032" w:rsidRDefault="00050A3F">
            <w:pPr>
              <w:jc w:val="both"/>
              <w:rPr>
                <w:lang w:val="lv-LV"/>
              </w:rPr>
            </w:pPr>
            <w:r w:rsidRPr="00050A3F">
              <w:rPr>
                <w:b/>
                <w:lang w:val="lv-LV"/>
              </w:rPr>
              <w:lastRenderedPageBreak/>
              <w:t>Noteikumu p</w:t>
            </w:r>
            <w:r w:rsidRPr="00050A3F" w:rsidR="005C0032">
              <w:rPr>
                <w:b/>
                <w:lang w:val="lv-LV"/>
              </w:rPr>
              <w:t>rojekts ir jāprecizē jautājumā par speciālista kvalifikāciju, kas atzīstama par pietiekamu saskaņoto darbu veikšanai.</w:t>
            </w:r>
            <w:r w:rsidRPr="005C0032" w:rsidR="005C0032">
              <w:rPr>
                <w:lang w:val="lv-LV"/>
              </w:rPr>
              <w:t xml:space="preserve"> Pirmkārt, ir jānorāda, kāda ar izglītību ie</w:t>
            </w:r>
            <w:r>
              <w:rPr>
                <w:lang w:val="lv-LV"/>
              </w:rPr>
              <w:t>gūta profesija ir nepieciešama n</w:t>
            </w:r>
            <w:r w:rsidRPr="005C0032" w:rsidR="005C0032">
              <w:rPr>
                <w:lang w:val="lv-LV"/>
              </w:rPr>
              <w:t>oteikumos paredzēto darbību v</w:t>
            </w:r>
            <w:r>
              <w:rPr>
                <w:lang w:val="lv-LV"/>
              </w:rPr>
              <w:t>eikšanai. Otrkārt, ir jāizvērtē un jānosaka,</w:t>
            </w:r>
            <w:r w:rsidRPr="005C0032" w:rsidR="005C0032">
              <w:rPr>
                <w:lang w:val="lv-LV"/>
              </w:rPr>
              <w:t xml:space="preserve"> kādas informācijas sniegšana par speciālista pieredzi ir nepieciešama (vai to varētu aizstāt ar būvspeciālista sertifikātu).</w:t>
            </w:r>
          </w:p>
          <w:p w:rsidRPr="005C0032" w:rsidR="005C0032" w:rsidP="005C0032" w:rsidRDefault="005C0032">
            <w:pPr>
              <w:jc w:val="both"/>
              <w:rPr>
                <w:lang w:val="lv-LV"/>
              </w:rPr>
            </w:pPr>
          </w:p>
          <w:p w:rsidRPr="005C0032" w:rsidR="005C0032" w:rsidP="005C0032" w:rsidRDefault="005C0032">
            <w:pPr>
              <w:jc w:val="both"/>
              <w:rPr>
                <w:lang w:val="lv-LV"/>
              </w:rPr>
            </w:pPr>
          </w:p>
          <w:p w:rsidRPr="005C0032" w:rsidR="005C0032" w:rsidP="005C0032" w:rsidRDefault="005C0032">
            <w:pPr>
              <w:jc w:val="both"/>
              <w:rPr>
                <w:color w:val="FF0000"/>
                <w:lang w:val="lv-LV"/>
              </w:rPr>
            </w:pP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lastRenderedPageBreak/>
              <w:t>8.</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6.</w:t>
            </w:r>
          </w:p>
        </w:tc>
        <w:tc>
          <w:tcPr>
            <w:tcW w:w="6237" w:type="dxa"/>
            <w:tcBorders>
              <w:top w:val="single" w:color="auto" w:sz="4" w:space="0"/>
              <w:left w:val="single" w:color="auto" w:sz="4" w:space="0"/>
              <w:bottom w:val="single" w:color="auto" w:sz="4" w:space="0"/>
              <w:right w:val="single" w:color="auto" w:sz="4" w:space="0"/>
            </w:tcBorders>
          </w:tcPr>
          <w:p w:rsidR="005C0032" w:rsidP="005C0032" w:rsidRDefault="00BA2297">
            <w:pPr>
              <w:jc w:val="both"/>
              <w:rPr>
                <w:lang w:val="lv-LV"/>
              </w:rPr>
            </w:pPr>
            <w:r>
              <w:rPr>
                <w:lang w:val="lv-LV"/>
              </w:rPr>
              <w:t xml:space="preserve">28. </w:t>
            </w:r>
            <w:r w:rsidRPr="005C0032" w:rsidR="005C0032">
              <w:rPr>
                <w:lang w:val="lv-LV"/>
              </w:rPr>
              <w:t>Izteikt 29. un 30.punktu šādā redakcijā:</w:t>
            </w:r>
          </w:p>
          <w:p w:rsidRPr="005C0032" w:rsidR="00611A41" w:rsidP="005C0032" w:rsidRDefault="00611A41">
            <w:pPr>
              <w:jc w:val="both"/>
              <w:rPr>
                <w:lang w:val="lv-LV"/>
              </w:rPr>
            </w:pPr>
            <w:r>
              <w:rPr>
                <w:lang w:val="lv-LV"/>
              </w:rPr>
              <w:t>[..]</w:t>
            </w:r>
          </w:p>
          <w:p w:rsidRPr="005C0032" w:rsidR="005C0032" w:rsidP="005C0032" w:rsidRDefault="00BA2297">
            <w:pPr>
              <w:jc w:val="both"/>
              <w:rPr>
                <w:lang w:val="lv-LV"/>
              </w:rPr>
            </w:pPr>
            <w:r>
              <w:rPr>
                <w:lang w:val="lv-LV"/>
              </w:rPr>
              <w:t xml:space="preserve">30. </w:t>
            </w:r>
            <w:r w:rsidRPr="005C0032" w:rsidR="005C0032">
              <w:rPr>
                <w:lang w:val="lv-LV"/>
              </w:rPr>
              <w:t xml:space="preserve">Kultūrvēsturiskās izpētes darbu pārskatu vai izpētes dokumentāciju iesniedz pārvaldes vai pašvaldības noteiktajā termiņā, bet ne vēlāk kā vienu gadu pēc darbu pabeigšanas. Kultūras pieminekļu konservācijas, restaurācijas un pārveidošanas </w:t>
            </w:r>
            <w:r w:rsidRPr="005C0032" w:rsidR="005C0032">
              <w:rPr>
                <w:u w:val="single"/>
                <w:lang w:val="lv-LV"/>
              </w:rPr>
              <w:t>darbi uzsākami tikai pēc izpētes darbu pārskata vai izpētes dokumentācijas iesniegšanas pārvaldē (pašvaldībā),</w:t>
            </w:r>
            <w:r w:rsidRPr="005C0032" w:rsidR="005C0032">
              <w:rPr>
                <w:lang w:val="lv-LV"/>
              </w:rPr>
              <w:t xml:space="preserve"> izņēmumi pieļaujami tikai neatliekamos kultūras pieminekļu glābšanas gadījumos.</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BA2297" w:rsidRDefault="00BA2297">
            <w:pPr>
              <w:jc w:val="both"/>
              <w:rPr>
                <w:lang w:val="lv-LV"/>
              </w:rPr>
            </w:pPr>
            <w:r w:rsidRPr="00BA2297">
              <w:rPr>
                <w:b/>
                <w:lang w:val="lv-LV"/>
              </w:rPr>
              <w:t>A</w:t>
            </w:r>
            <w:r w:rsidRPr="00BA2297" w:rsidR="005C0032">
              <w:rPr>
                <w:b/>
                <w:lang w:val="lv-LV"/>
              </w:rPr>
              <w:t xml:space="preserve">tbilstoši </w:t>
            </w:r>
            <w:r w:rsidRPr="00BA2297">
              <w:rPr>
                <w:b/>
                <w:lang w:val="lv-LV"/>
              </w:rPr>
              <w:t>Noteikumu p</w:t>
            </w:r>
            <w:r w:rsidRPr="00BA2297" w:rsidR="005C0032">
              <w:rPr>
                <w:b/>
                <w:lang w:val="lv-LV"/>
              </w:rPr>
              <w:t xml:space="preserve">rojektam nav saprotama, kāda </w:t>
            </w:r>
            <w:r w:rsidRPr="00BA2297">
              <w:rPr>
                <w:b/>
                <w:lang w:val="lv-LV"/>
              </w:rPr>
              <w:t xml:space="preserve">ir </w:t>
            </w:r>
            <w:r w:rsidRPr="00BA2297" w:rsidR="005C0032">
              <w:rPr>
                <w:b/>
                <w:lang w:val="lv-LV"/>
              </w:rPr>
              <w:t>iestādes veicamā rīcība ar saņemto izpētes darbu pārskatu, kā arī, kāda ir iespējama iestādes rīcība.</w:t>
            </w:r>
            <w:r w:rsidRPr="005C0032" w:rsidR="005C0032">
              <w:rPr>
                <w:lang w:val="lv-LV"/>
              </w:rPr>
              <w:t xml:space="preserve"> Piemēram, vai pārskats ir pamats izvirzīt nosacījumus būvatļaujā (šajā gadījumā tas nozīmē, kas pārskats ir jāiesniedz kopā ar būvatļaujas pieprasījumu).</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9.</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7.</w:t>
            </w:r>
          </w:p>
        </w:tc>
        <w:tc>
          <w:tcPr>
            <w:tcW w:w="6237" w:type="dxa"/>
            <w:tcBorders>
              <w:top w:val="single" w:color="auto" w:sz="4" w:space="0"/>
              <w:left w:val="single" w:color="auto" w:sz="4" w:space="0"/>
              <w:bottom w:val="single" w:color="auto" w:sz="4" w:space="0"/>
              <w:right w:val="single" w:color="auto" w:sz="4" w:space="0"/>
            </w:tcBorders>
          </w:tcPr>
          <w:p w:rsidR="005C0032" w:rsidP="005C0032" w:rsidRDefault="00611A41">
            <w:pPr>
              <w:jc w:val="both"/>
              <w:rPr>
                <w:lang w:val="lv-LV"/>
              </w:rPr>
            </w:pPr>
            <w:r>
              <w:rPr>
                <w:lang w:val="lv-LV"/>
              </w:rPr>
              <w:t xml:space="preserve">35. </w:t>
            </w:r>
            <w:r w:rsidRPr="005C0032" w:rsidR="005C0032">
              <w:rPr>
                <w:lang w:val="lv-LV"/>
              </w:rPr>
              <w:t>Izteikt 44., 45. un 46.punktu šādā redakcijā:</w:t>
            </w:r>
          </w:p>
          <w:p w:rsidRPr="005C0032" w:rsidR="00611A41" w:rsidP="005C0032" w:rsidRDefault="00611A41">
            <w:pPr>
              <w:jc w:val="both"/>
              <w:rPr>
                <w:lang w:val="lv-LV"/>
              </w:rPr>
            </w:pPr>
            <w:r>
              <w:rPr>
                <w:lang w:val="lv-LV"/>
              </w:rPr>
              <w:t>[..]</w:t>
            </w:r>
          </w:p>
          <w:p w:rsidRPr="005C0032" w:rsidR="005C0032" w:rsidP="005C0032" w:rsidRDefault="005C0032">
            <w:pPr>
              <w:jc w:val="both"/>
              <w:rPr>
                <w:lang w:val="lv-LV"/>
              </w:rPr>
            </w:pPr>
            <w:r w:rsidRPr="005C0032">
              <w:rPr>
                <w:lang w:val="lv-LV"/>
              </w:rPr>
              <w:t xml:space="preserve">46. Ja valsts ugunsdrošības, sanitārās uzraudzības un citu valsts un pašvaldību institūciju </w:t>
            </w:r>
            <w:r w:rsidRPr="005C0032">
              <w:rPr>
                <w:u w:val="single"/>
                <w:lang w:val="lv-LV"/>
              </w:rPr>
              <w:t>prasību īstenošana var radīt</w:t>
            </w:r>
            <w:r w:rsidRPr="005C0032">
              <w:rPr>
                <w:lang w:val="lv-LV"/>
              </w:rPr>
              <w:t xml:space="preserve"> kultūras pieminekļa oriģinālās substances un autentiskuma zaudējumus vai mazināt kultūras pieminekļa kultūrvēsturisko vērtību, tad </w:t>
            </w:r>
            <w:r w:rsidRPr="005C0032">
              <w:rPr>
                <w:u w:val="single"/>
                <w:lang w:val="lv-LV"/>
              </w:rPr>
              <w:t>attiecīgā institūcija un pārvalde izvērtē</w:t>
            </w:r>
            <w:r w:rsidRPr="005C0032">
              <w:rPr>
                <w:lang w:val="lv-LV"/>
              </w:rPr>
              <w:t xml:space="preserve"> citu kultūras pieminekļa īpašnieka iesniegtu </w:t>
            </w:r>
            <w:r w:rsidRPr="005C0032">
              <w:rPr>
                <w:u w:val="single"/>
                <w:lang w:val="lv-LV"/>
              </w:rPr>
              <w:t>alternatīvu risinājumu prasību nodrošināšanai</w:t>
            </w:r>
            <w:r w:rsidRPr="005C0032">
              <w:rPr>
                <w:lang w:val="lv-LV"/>
              </w:rPr>
              <w:t>.</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BA2297" w:rsidRDefault="00BA2297">
            <w:pPr>
              <w:jc w:val="both"/>
              <w:rPr>
                <w:lang w:val="lv-LV"/>
              </w:rPr>
            </w:pPr>
            <w:r>
              <w:rPr>
                <w:b/>
                <w:lang w:val="lv-LV"/>
              </w:rPr>
              <w:t>N</w:t>
            </w:r>
            <w:r w:rsidRPr="00BA2297" w:rsidR="005C0032">
              <w:rPr>
                <w:b/>
                <w:lang w:val="lv-LV"/>
              </w:rPr>
              <w:t>oteikumu 46. punkta redakcija ir jāprecizē</w:t>
            </w:r>
            <w:r w:rsidRPr="00BA2297">
              <w:rPr>
                <w:b/>
                <w:lang w:val="lv-LV"/>
              </w:rPr>
              <w:t xml:space="preserve"> </w:t>
            </w:r>
            <w:r>
              <w:rPr>
                <w:b/>
                <w:lang w:val="lv-LV"/>
              </w:rPr>
              <w:t>a</w:t>
            </w:r>
            <w:r w:rsidRPr="00BA2297">
              <w:rPr>
                <w:b/>
                <w:lang w:val="lv-LV"/>
              </w:rPr>
              <w:t>tbilstoši Noteikumu projektam</w:t>
            </w:r>
            <w:r w:rsidRPr="00BA2297" w:rsidR="005C0032">
              <w:rPr>
                <w:b/>
                <w:lang w:val="lv-LV"/>
              </w:rPr>
              <w:t>,</w:t>
            </w:r>
            <w:r w:rsidRPr="005C0032" w:rsidR="005C0032">
              <w:rPr>
                <w:lang w:val="lv-LV"/>
              </w:rPr>
              <w:t xml:space="preserve"> lai neveidotos priekšstats, ka pašvaldība vai Nacionālā kultūras mantojuma pārvalde vērtē citu institūciju izvirzīto prasību ievērošanu. Proti, tieši valsts ugunsdrošības, sanitārās uzraudzības un citu valsts un pašvaldību institūcijām ir jāizvērtē alternatīvais risinājums prasību nodrošināšanai.</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10.</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9.</w:t>
            </w:r>
          </w:p>
        </w:tc>
        <w:tc>
          <w:tcPr>
            <w:tcW w:w="6237" w:type="dxa"/>
            <w:tcBorders>
              <w:top w:val="single" w:color="auto" w:sz="4" w:space="0"/>
              <w:left w:val="single" w:color="auto" w:sz="4" w:space="0"/>
              <w:bottom w:val="single" w:color="auto" w:sz="4" w:space="0"/>
              <w:right w:val="single" w:color="auto" w:sz="4" w:space="0"/>
            </w:tcBorders>
          </w:tcPr>
          <w:p w:rsidRPr="005C0032" w:rsidR="00611A41" w:rsidP="005C0032" w:rsidRDefault="00611A41">
            <w:pPr>
              <w:jc w:val="both"/>
              <w:rPr>
                <w:lang w:val="lv-LV"/>
              </w:rPr>
            </w:pPr>
            <w:r>
              <w:rPr>
                <w:lang w:val="lv-LV"/>
              </w:rPr>
              <w:t xml:space="preserve">38. </w:t>
            </w:r>
            <w:r w:rsidRPr="005C0032" w:rsidR="005C0032">
              <w:rPr>
                <w:lang w:val="lv-LV"/>
              </w:rPr>
              <w:t>Izteikt V nodaļu šādā redakcijā:</w:t>
            </w:r>
          </w:p>
          <w:p w:rsidR="005C0032" w:rsidP="005C0032" w:rsidRDefault="005C0032">
            <w:pPr>
              <w:jc w:val="both"/>
              <w:rPr>
                <w:lang w:val="lv-LV"/>
              </w:rPr>
            </w:pPr>
            <w:r w:rsidRPr="005C0032">
              <w:rPr>
                <w:lang w:val="lv-LV"/>
              </w:rPr>
              <w:t>„V. Kultūras pieminekļu remonts (labošana), konservācija, restaurācija un pārveidošana</w:t>
            </w:r>
          </w:p>
          <w:p w:rsidRPr="005C0032" w:rsidR="00611A41" w:rsidP="005C0032" w:rsidRDefault="00611A41">
            <w:pPr>
              <w:jc w:val="both"/>
              <w:rPr>
                <w:lang w:val="lv-LV"/>
              </w:rPr>
            </w:pPr>
            <w:r>
              <w:rPr>
                <w:lang w:val="lv-LV"/>
              </w:rPr>
              <w:t>[..]</w:t>
            </w:r>
          </w:p>
          <w:p w:rsidRPr="005C0032" w:rsidR="005C0032" w:rsidP="005C0032" w:rsidRDefault="005C0032">
            <w:pPr>
              <w:jc w:val="both"/>
              <w:rPr>
                <w:lang w:val="lv-LV"/>
              </w:rPr>
            </w:pPr>
            <w:r w:rsidRPr="005C0032">
              <w:rPr>
                <w:lang w:val="lv-LV"/>
              </w:rPr>
              <w:t>53. Iesniegumam šo noteikumu 52.punktā minētās atļaujas saņemšanai pievieno šādu informāciju:</w:t>
            </w:r>
          </w:p>
          <w:p w:rsidRPr="005C0032" w:rsidR="005C0032" w:rsidP="005C0032" w:rsidRDefault="005C0032">
            <w:pPr>
              <w:jc w:val="both"/>
              <w:rPr>
                <w:u w:val="single"/>
                <w:lang w:val="lv-LV"/>
              </w:rPr>
            </w:pPr>
            <w:r w:rsidRPr="005C0032">
              <w:rPr>
                <w:u w:val="single"/>
                <w:lang w:val="lv-LV"/>
              </w:rPr>
              <w:t>53.7. projekts vai cita dokumentācija, ja tāda nepieciešama.</w:t>
            </w:r>
          </w:p>
        </w:tc>
        <w:tc>
          <w:tcPr>
            <w:tcW w:w="7513" w:type="dxa"/>
            <w:tcBorders>
              <w:top w:val="single" w:color="auto" w:sz="4" w:space="0"/>
              <w:left w:val="single" w:color="auto" w:sz="4" w:space="0"/>
              <w:bottom w:val="single" w:color="auto" w:sz="4" w:space="0"/>
              <w:right w:val="single" w:color="auto" w:sz="4" w:space="0"/>
            </w:tcBorders>
          </w:tcPr>
          <w:p w:rsidRPr="00BA2297" w:rsidR="005C0032" w:rsidP="00BA2297" w:rsidRDefault="00BA2297">
            <w:pPr>
              <w:jc w:val="both"/>
              <w:rPr>
                <w:b/>
                <w:lang w:val="lv-LV"/>
              </w:rPr>
            </w:pPr>
            <w:r>
              <w:rPr>
                <w:b/>
                <w:lang w:val="lv-LV"/>
              </w:rPr>
              <w:t>A</w:t>
            </w:r>
            <w:r w:rsidRPr="00BA2297">
              <w:rPr>
                <w:b/>
                <w:lang w:val="lv-LV"/>
              </w:rPr>
              <w:t>tbilstoši Noteikumu p</w:t>
            </w:r>
            <w:r w:rsidRPr="00BA2297" w:rsidR="005C0032">
              <w:rPr>
                <w:b/>
                <w:lang w:val="lv-LV"/>
              </w:rPr>
              <w:t xml:space="preserve">rojektam </w:t>
            </w:r>
            <w:r>
              <w:rPr>
                <w:b/>
                <w:lang w:val="lv-LV"/>
              </w:rPr>
              <w:t>i</w:t>
            </w:r>
            <w:r w:rsidRPr="00BA2297">
              <w:rPr>
                <w:b/>
                <w:lang w:val="lv-LV"/>
              </w:rPr>
              <w:t xml:space="preserve">r jāizvērtē </w:t>
            </w:r>
            <w:r w:rsidRPr="00BA2297" w:rsidR="005C0032">
              <w:rPr>
                <w:b/>
                <w:lang w:val="lv-LV"/>
              </w:rPr>
              <w:t>paredzētais pienākums iesniegt būvniecības ieceres dokumentāciju tajos gadījumos, kad tā ir pieejama Būvniecības informācijas sistēmā.</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11.</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9.-10.</w:t>
            </w:r>
          </w:p>
        </w:tc>
        <w:tc>
          <w:tcPr>
            <w:tcW w:w="6237" w:type="dxa"/>
            <w:tcBorders>
              <w:top w:val="single" w:color="auto" w:sz="4" w:space="0"/>
              <w:left w:val="single" w:color="auto" w:sz="4" w:space="0"/>
              <w:bottom w:val="single" w:color="auto" w:sz="4" w:space="0"/>
              <w:right w:val="single" w:color="auto" w:sz="4" w:space="0"/>
            </w:tcBorders>
          </w:tcPr>
          <w:p w:rsidRPr="005C0032" w:rsidR="005C0032" w:rsidP="005C0032" w:rsidRDefault="00611A41">
            <w:pPr>
              <w:jc w:val="both"/>
              <w:rPr>
                <w:lang w:val="lv-LV"/>
              </w:rPr>
            </w:pPr>
            <w:r>
              <w:rPr>
                <w:lang w:val="lv-LV"/>
              </w:rPr>
              <w:t xml:space="preserve">38. </w:t>
            </w:r>
            <w:r w:rsidRPr="005C0032" w:rsidR="005C0032">
              <w:rPr>
                <w:lang w:val="lv-LV"/>
              </w:rPr>
              <w:t>Izteikt V nodaļu šādā redakcijā:</w:t>
            </w:r>
          </w:p>
          <w:p w:rsidR="005C0032" w:rsidP="005C0032" w:rsidRDefault="005C0032">
            <w:pPr>
              <w:jc w:val="both"/>
              <w:rPr>
                <w:lang w:val="lv-LV"/>
              </w:rPr>
            </w:pPr>
            <w:r w:rsidRPr="005C0032">
              <w:rPr>
                <w:lang w:val="lv-LV"/>
              </w:rPr>
              <w:t>„V. Kultūras pieminekļu remonts (labošana), konservācija, restaurācija un pārveidošana</w:t>
            </w:r>
          </w:p>
          <w:p w:rsidRPr="005C0032" w:rsidR="00611A41" w:rsidP="005C0032" w:rsidRDefault="00611A41">
            <w:pPr>
              <w:jc w:val="both"/>
              <w:rPr>
                <w:lang w:val="lv-LV"/>
              </w:rPr>
            </w:pPr>
            <w:r>
              <w:rPr>
                <w:lang w:val="lv-LV"/>
              </w:rPr>
              <w:t>[..]</w:t>
            </w:r>
          </w:p>
          <w:p w:rsidRPr="005C0032" w:rsidR="005C0032" w:rsidP="005C0032" w:rsidRDefault="00611A41">
            <w:pPr>
              <w:jc w:val="both"/>
              <w:rPr>
                <w:lang w:val="lv-LV"/>
              </w:rPr>
            </w:pPr>
            <w:r>
              <w:rPr>
                <w:lang w:val="lv-LV"/>
              </w:rPr>
              <w:t xml:space="preserve">57. </w:t>
            </w:r>
            <w:r w:rsidRPr="005C0032" w:rsidR="005C0032">
              <w:rPr>
                <w:lang w:val="lv-LV"/>
              </w:rPr>
              <w:t xml:space="preserve">Valsts vai reģiona nozīmes kultūras pieminekļu konservācijas, restaurācijas un pārveidošanas darbu autors (vadītājs) pirms pārvaldes atzinuma pieprasīšanas par veikto darbu atbilstību pārvaldes izsniegtajai atļaujai, bet ne vēlāk kā mēneša laikā pēc darbu pabeigšanas vai, ja darbi tiek veikti </w:t>
            </w:r>
            <w:r w:rsidRPr="005C0032" w:rsidR="005C0032">
              <w:rPr>
                <w:lang w:val="lv-LV"/>
              </w:rPr>
              <w:lastRenderedPageBreak/>
              <w:t>ilgāk par gadu, katru gadu mēneša laikā pēc kalendārā gada beigām, iesniedz pārvaldē (ja atļaujā par darbu veikšanu nav noteikts citādi) pārskatu par kultūras piemineklī veiktajiem darbiem, kurā iekļauj:</w:t>
            </w:r>
          </w:p>
          <w:p w:rsidRPr="005C0032" w:rsidR="005C0032" w:rsidP="005C0032" w:rsidRDefault="005C0032">
            <w:pPr>
              <w:jc w:val="both"/>
              <w:rPr>
                <w:lang w:val="lv-LV"/>
              </w:rPr>
            </w:pPr>
            <w:r w:rsidRPr="005C0032">
              <w:rPr>
                <w:lang w:val="lv-LV"/>
              </w:rPr>
              <w:t xml:space="preserve">57.5. darba zīmējumu korekcijas, </w:t>
            </w:r>
            <w:r w:rsidRPr="005C0032">
              <w:rPr>
                <w:u w:val="single"/>
                <w:lang w:val="lv-LV"/>
              </w:rPr>
              <w:t>ja jaunu atklājumu dēļ darbi veikti ar atkāpēm no saskaņotā projekta.</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BA2297" w:rsidRDefault="00BA2297">
            <w:pPr>
              <w:jc w:val="both"/>
              <w:rPr>
                <w:lang w:val="lv-LV"/>
              </w:rPr>
            </w:pPr>
            <w:r w:rsidRPr="00BA2297">
              <w:rPr>
                <w:u w:val="single"/>
                <w:lang w:val="lv-LV"/>
              </w:rPr>
              <w:lastRenderedPageBreak/>
              <w:t>B</w:t>
            </w:r>
            <w:r w:rsidRPr="00BA2297" w:rsidR="005C0032">
              <w:rPr>
                <w:u w:val="single"/>
                <w:lang w:val="lv-LV"/>
              </w:rPr>
              <w:t>ūvniecības tiesiskajā regulējuma nav pieļaujama būvdarbu veikšana ar atkāpēm no būvprojekta</w:t>
            </w:r>
            <w:r w:rsidRPr="005C0032" w:rsidR="005C0032">
              <w:rPr>
                <w:lang w:val="lv-LV"/>
              </w:rPr>
              <w:t xml:space="preserve"> (atbilstoši Būvniecības likuma 18. panta otrajai daļai būvdarbi, kas neatbilst būvprojektam, ir kvalificējami kā patvaļīga būvniecīb</w:t>
            </w:r>
            <w:r>
              <w:rPr>
                <w:lang w:val="lv-LV"/>
              </w:rPr>
              <w:t xml:space="preserve">a). Līdz ar to </w:t>
            </w:r>
            <w:r w:rsidRPr="00BA2297" w:rsidR="005C0032">
              <w:rPr>
                <w:b/>
                <w:lang w:val="lv-LV"/>
              </w:rPr>
              <w:t>ir jāprecizē 57.5. apakš</w:t>
            </w:r>
            <w:r>
              <w:rPr>
                <w:b/>
                <w:lang w:val="lv-LV"/>
              </w:rPr>
              <w:t>punkts</w:t>
            </w:r>
            <w:r w:rsidRPr="00BA2297">
              <w:rPr>
                <w:b/>
                <w:lang w:val="lv-LV"/>
              </w:rPr>
              <w:t xml:space="preserve"> atbilstoši Noteikumu projektam</w:t>
            </w:r>
            <w:r>
              <w:rPr>
                <w:b/>
                <w:lang w:val="lv-LV"/>
              </w:rPr>
              <w:t>.</w:t>
            </w:r>
          </w:p>
        </w:tc>
      </w:tr>
      <w:tr w:rsidRPr="005C0032" w:rsidR="005C0032"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lastRenderedPageBreak/>
              <w:t>12.</w:t>
            </w:r>
          </w:p>
        </w:tc>
        <w:tc>
          <w:tcPr>
            <w:tcW w:w="851" w:type="dxa"/>
            <w:tcBorders>
              <w:top w:val="single" w:color="auto" w:sz="4" w:space="0"/>
              <w:left w:val="single" w:color="auto" w:sz="4" w:space="0"/>
              <w:bottom w:val="single" w:color="auto" w:sz="4" w:space="0"/>
              <w:right w:val="single" w:color="auto" w:sz="4" w:space="0"/>
            </w:tcBorders>
            <w:vAlign w:val="center"/>
          </w:tcPr>
          <w:p w:rsidRPr="005C0032" w:rsidR="005C0032" w:rsidP="00611A41" w:rsidRDefault="00611A41">
            <w:pPr>
              <w:jc w:val="center"/>
              <w:rPr>
                <w:bCs/>
                <w:lang w:val="lv-LV"/>
              </w:rPr>
            </w:pPr>
            <w:r>
              <w:rPr>
                <w:bCs/>
                <w:lang w:val="lv-LV"/>
              </w:rPr>
              <w:t>10.</w:t>
            </w:r>
          </w:p>
        </w:tc>
        <w:tc>
          <w:tcPr>
            <w:tcW w:w="6237" w:type="dxa"/>
            <w:tcBorders>
              <w:top w:val="single" w:color="auto" w:sz="4" w:space="0"/>
              <w:left w:val="single" w:color="auto" w:sz="4" w:space="0"/>
              <w:bottom w:val="single" w:color="auto" w:sz="4" w:space="0"/>
              <w:right w:val="single" w:color="auto" w:sz="4" w:space="0"/>
            </w:tcBorders>
          </w:tcPr>
          <w:p w:rsidR="005C0032" w:rsidP="005C0032" w:rsidRDefault="00611A41">
            <w:pPr>
              <w:jc w:val="both"/>
              <w:rPr>
                <w:lang w:val="lv-LV"/>
              </w:rPr>
            </w:pPr>
            <w:r>
              <w:rPr>
                <w:lang w:val="lv-LV"/>
              </w:rPr>
              <w:t xml:space="preserve">40. </w:t>
            </w:r>
            <w:r w:rsidRPr="005C0032" w:rsidR="005C0032">
              <w:rPr>
                <w:lang w:val="lv-LV"/>
              </w:rPr>
              <w:t>Papildināt VII nodaļu „Noslēguma jautājumi” ar 65., 66., 67., 68., 69., 70. un 71.punktu šādā redakcijā:</w:t>
            </w:r>
          </w:p>
          <w:p w:rsidRPr="005C0032" w:rsidR="00611A41" w:rsidP="005C0032" w:rsidRDefault="00611A41">
            <w:pPr>
              <w:jc w:val="both"/>
              <w:rPr>
                <w:lang w:val="lv-LV"/>
              </w:rPr>
            </w:pPr>
            <w:r>
              <w:rPr>
                <w:lang w:val="lv-LV"/>
              </w:rPr>
              <w:t>[..]</w:t>
            </w:r>
          </w:p>
          <w:p w:rsidRPr="005C0032" w:rsidR="005C0032" w:rsidP="005C0032" w:rsidRDefault="005C0032">
            <w:pPr>
              <w:jc w:val="both"/>
              <w:rPr>
                <w:lang w:val="lv-LV"/>
              </w:rPr>
            </w:pPr>
            <w:r w:rsidRPr="005C0032">
              <w:rPr>
                <w:lang w:val="lv-LV"/>
              </w:rPr>
              <w:t xml:space="preserve">70. Šo noteikumu 1.1 punktā minētās funkcijas attiecībā uz vietējās nozīmes kultūras pieminekļiem nodrošina pašvaldības ar brīdi, kad pārvalde vietējās nozīmes kultūras pieminekļus </w:t>
            </w:r>
            <w:r w:rsidRPr="005C0032">
              <w:rPr>
                <w:u w:val="single"/>
                <w:lang w:val="lv-LV"/>
              </w:rPr>
              <w:t>ar aktu nodevusi pašvaldībai</w:t>
            </w:r>
            <w:r w:rsidRPr="005C0032">
              <w:rPr>
                <w:lang w:val="lv-LV"/>
              </w:rPr>
              <w:t>, pašvaldība tos ir pieņēmusi un ir izdoti šo noteikumu 1.1 punktā minētie saistošie noteikumi.</w:t>
            </w:r>
          </w:p>
        </w:tc>
        <w:tc>
          <w:tcPr>
            <w:tcW w:w="7513" w:type="dxa"/>
            <w:tcBorders>
              <w:top w:val="single" w:color="auto" w:sz="4" w:space="0"/>
              <w:left w:val="single" w:color="auto" w:sz="4" w:space="0"/>
              <w:bottom w:val="single" w:color="auto" w:sz="4" w:space="0"/>
              <w:right w:val="single" w:color="auto" w:sz="4" w:space="0"/>
            </w:tcBorders>
          </w:tcPr>
          <w:p w:rsidRPr="005C0032" w:rsidR="005C0032" w:rsidP="00BA2297" w:rsidRDefault="00BA2297">
            <w:pPr>
              <w:jc w:val="both"/>
              <w:rPr>
                <w:lang w:val="lv-LV"/>
              </w:rPr>
            </w:pPr>
            <w:r w:rsidRPr="00BA2297">
              <w:rPr>
                <w:b/>
                <w:lang w:val="lv-LV"/>
              </w:rPr>
              <w:t>Lūdzam precizēt Noteikumu projekta 40. punktu (n</w:t>
            </w:r>
            <w:r w:rsidRPr="00BA2297" w:rsidR="005C0032">
              <w:rPr>
                <w:b/>
                <w:lang w:val="lv-LV"/>
              </w:rPr>
              <w:t xml:space="preserve">oteikumu 70.pkt.), nosakot kārtību, kādā pašvaldība uzsāks </w:t>
            </w:r>
            <w:r w:rsidRPr="00BA2297">
              <w:rPr>
                <w:b/>
                <w:lang w:val="lv-LV"/>
              </w:rPr>
              <w:t>n</w:t>
            </w:r>
            <w:r w:rsidRPr="00BA2297" w:rsidR="005C0032">
              <w:rPr>
                <w:b/>
                <w:lang w:val="lv-LV"/>
              </w:rPr>
              <w:t>oteikumos paredzēto pienākumu izpildi.</w:t>
            </w:r>
            <w:r w:rsidRPr="005C0032" w:rsidR="005C0032">
              <w:rPr>
                <w:lang w:val="lv-LV"/>
              </w:rPr>
              <w:t xml:space="preserve"> </w:t>
            </w:r>
            <w:r>
              <w:rPr>
                <w:lang w:val="lv-LV"/>
              </w:rPr>
              <w:t xml:space="preserve">Akts </w:t>
            </w:r>
            <w:r w:rsidRPr="005C0032" w:rsidR="005C0032">
              <w:rPr>
                <w:lang w:val="lv-LV"/>
              </w:rPr>
              <w:t>ir vienpusējas gribas izpausme, bet konkrētajā gadījumā ir nepieciešama iesaistīto iestāžu</w:t>
            </w:r>
            <w:r>
              <w:rPr>
                <w:lang w:val="lv-LV"/>
              </w:rPr>
              <w:t xml:space="preserve"> sadarbība, līdz ar to vienošanā</w:t>
            </w:r>
            <w:r w:rsidRPr="005C0032" w:rsidR="005C0032">
              <w:rPr>
                <w:lang w:val="lv-LV"/>
              </w:rPr>
              <w:t>s. Vienlai</w:t>
            </w:r>
            <w:r>
              <w:rPr>
                <w:lang w:val="lv-LV"/>
              </w:rPr>
              <w:t>kus nav saprotams, vai vienošanā</w:t>
            </w:r>
            <w:r w:rsidRPr="005C0032" w:rsidR="005C0032">
              <w:rPr>
                <w:lang w:val="lv-LV"/>
              </w:rPr>
              <w:t xml:space="preserve">s (akts) būs pirms vai pēc tam, kad attiecīgai būvei tiks piešķirts/mainīts kultūras pieminekļa statuss. </w:t>
            </w:r>
          </w:p>
        </w:tc>
      </w:tr>
      <w:tr w:rsidRPr="005C0032" w:rsidR="00611A41"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611A41" w:rsidP="00611A41" w:rsidRDefault="00611A41">
            <w:pPr>
              <w:jc w:val="center"/>
              <w:rPr>
                <w:bCs/>
                <w:lang w:val="lv-LV"/>
              </w:rPr>
            </w:pPr>
            <w:r>
              <w:rPr>
                <w:bCs/>
                <w:lang w:val="lv-LV"/>
              </w:rPr>
              <w:t>13.</w:t>
            </w:r>
          </w:p>
        </w:tc>
        <w:tc>
          <w:tcPr>
            <w:tcW w:w="7088" w:type="dxa"/>
            <w:gridSpan w:val="2"/>
            <w:tcBorders>
              <w:top w:val="single" w:color="auto" w:sz="4" w:space="0"/>
              <w:left w:val="single" w:color="auto" w:sz="4" w:space="0"/>
              <w:bottom w:val="single" w:color="auto" w:sz="4" w:space="0"/>
              <w:right w:val="single" w:color="auto" w:sz="4" w:space="0"/>
            </w:tcBorders>
          </w:tcPr>
          <w:p w:rsidR="00611A41" w:rsidP="005C0032" w:rsidRDefault="00611A41">
            <w:pPr>
              <w:jc w:val="both"/>
              <w:rPr>
                <w:b/>
                <w:lang w:val="lv-LV"/>
              </w:rPr>
            </w:pPr>
            <w:r w:rsidRPr="00BA2297">
              <w:rPr>
                <w:b/>
                <w:lang w:val="lv-LV"/>
              </w:rPr>
              <w:t>Noteikumu projekts neparedz grozījumus:</w:t>
            </w:r>
          </w:p>
          <w:p w:rsidRPr="005C0032" w:rsidR="00611A41" w:rsidP="005C0032" w:rsidRDefault="00611A41">
            <w:pPr>
              <w:jc w:val="both"/>
              <w:rPr>
                <w:lang w:val="lv-LV"/>
              </w:rPr>
            </w:pPr>
            <w:r w:rsidRPr="005C0032">
              <w:rPr>
                <w:lang w:val="lv-LV"/>
              </w:rPr>
              <w:t>36. Būvniecība un citi darbi kultūras pieminekļa aizsardzības zonā, kas var pārveidot kultūras pieminekli vai ainavu, veicami, ievērojot Aizsargjoslu likumā noteiktos aprobežojumus, kā arī nodrošinot pasākumus kultūras pieminekļa saglabāšanai. Minētos pasākumus iekļauj būvniecības vai citu darbu projektā un tāmē, tos finansē būvniecības ierosinātājs vai finansētājs un pārbauda inspekcija.</w:t>
            </w:r>
          </w:p>
        </w:tc>
        <w:tc>
          <w:tcPr>
            <w:tcW w:w="7513" w:type="dxa"/>
            <w:tcBorders>
              <w:top w:val="single" w:color="auto" w:sz="4" w:space="0"/>
              <w:left w:val="single" w:color="auto" w:sz="4" w:space="0"/>
              <w:bottom w:val="single" w:color="auto" w:sz="4" w:space="0"/>
              <w:right w:val="single" w:color="auto" w:sz="4" w:space="0"/>
            </w:tcBorders>
          </w:tcPr>
          <w:p w:rsidRPr="005C0032" w:rsidR="00611A41" w:rsidP="00BA2297" w:rsidRDefault="00611A41">
            <w:pPr>
              <w:jc w:val="both"/>
              <w:rPr>
                <w:lang w:val="lv-LV"/>
              </w:rPr>
            </w:pPr>
            <w:r w:rsidRPr="005C0032">
              <w:rPr>
                <w:lang w:val="lv-LV"/>
              </w:rPr>
              <w:t>Ņemot vērā, ka punkts atkārto citus normatīvus tiesību aktus, 36.</w:t>
            </w:r>
            <w:r>
              <w:rPr>
                <w:lang w:val="lv-LV"/>
              </w:rPr>
              <w:t xml:space="preserve"> </w:t>
            </w:r>
            <w:r w:rsidRPr="005C0032">
              <w:rPr>
                <w:lang w:val="lv-LV"/>
              </w:rPr>
              <w:t>punkt</w:t>
            </w:r>
            <w:r>
              <w:rPr>
                <w:lang w:val="lv-LV"/>
              </w:rPr>
              <w:t xml:space="preserve">s būtu svītrojams. </w:t>
            </w:r>
          </w:p>
        </w:tc>
      </w:tr>
      <w:tr w:rsidRPr="005C0032" w:rsidR="00611A41"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611A41" w:rsidP="00611A41" w:rsidRDefault="00611A41">
            <w:pPr>
              <w:jc w:val="center"/>
              <w:rPr>
                <w:bCs/>
                <w:lang w:val="lv-LV"/>
              </w:rPr>
            </w:pPr>
            <w:r>
              <w:rPr>
                <w:bCs/>
                <w:lang w:val="lv-LV"/>
              </w:rPr>
              <w:t>14.</w:t>
            </w:r>
          </w:p>
        </w:tc>
        <w:tc>
          <w:tcPr>
            <w:tcW w:w="7088" w:type="dxa"/>
            <w:gridSpan w:val="2"/>
            <w:tcBorders>
              <w:top w:val="single" w:color="auto" w:sz="4" w:space="0"/>
              <w:left w:val="single" w:color="auto" w:sz="4" w:space="0"/>
              <w:bottom w:val="single" w:color="auto" w:sz="4" w:space="0"/>
              <w:right w:val="single" w:color="auto" w:sz="4" w:space="0"/>
            </w:tcBorders>
          </w:tcPr>
          <w:p w:rsidR="00611A41" w:rsidP="005C0032" w:rsidRDefault="00611A41">
            <w:pPr>
              <w:jc w:val="both"/>
              <w:rPr>
                <w:b/>
                <w:lang w:val="lv-LV"/>
              </w:rPr>
            </w:pPr>
            <w:r w:rsidRPr="00BA2297">
              <w:rPr>
                <w:b/>
                <w:lang w:val="lv-LV"/>
              </w:rPr>
              <w:t>Noteikumu projekts neparedz grozījumus:</w:t>
            </w:r>
          </w:p>
          <w:p w:rsidRPr="005C0032" w:rsidR="00611A41" w:rsidP="005C0032" w:rsidRDefault="00611A41">
            <w:pPr>
              <w:jc w:val="both"/>
              <w:rPr>
                <w:lang w:val="lv-LV"/>
              </w:rPr>
            </w:pPr>
            <w:r w:rsidRPr="005C0032">
              <w:rPr>
                <w:lang w:val="lv-LV"/>
              </w:rPr>
              <w:t xml:space="preserve">59. Fiziskās un juridiskās personas, kas nodarījušas bojājumus kultūras piemineklim vai nelikumīgi pārveidojušas kultūrvēsturisko vidi kultūras pieminekļa teritorijā vai aizsardzības zonā, atjauno kultūras pieminekli un vidi iepriekšējā stāvoklī. Ja atjaunošana nav iespējama, minētās personas </w:t>
            </w:r>
            <w:r w:rsidRPr="005C0032">
              <w:rPr>
                <w:u w:val="single"/>
                <w:lang w:val="lv-LV"/>
              </w:rPr>
              <w:t>atlīdzina zaudējumus Civilprocesa likumā noteiktajā kārtībā</w:t>
            </w:r>
            <w:r w:rsidRPr="005C0032">
              <w:rPr>
                <w:lang w:val="lv-LV"/>
              </w:rPr>
              <w:t>. Kultūras pieminekļa kultūrvēsturiskā vērtība ir kultūras pieminekļa novērtējums, kas ietver tā materiālās, vēsturiskās, zinātniskās, kultūras, estētiskās un tirgus (starptautiskā mākslas un antikvāro priekšmetu tirgus) vērtības summu.</w:t>
            </w:r>
          </w:p>
        </w:tc>
        <w:tc>
          <w:tcPr>
            <w:tcW w:w="7513" w:type="dxa"/>
            <w:tcBorders>
              <w:top w:val="single" w:color="auto" w:sz="4" w:space="0"/>
              <w:left w:val="single" w:color="auto" w:sz="4" w:space="0"/>
              <w:bottom w:val="single" w:color="auto" w:sz="4" w:space="0"/>
              <w:right w:val="single" w:color="auto" w:sz="4" w:space="0"/>
            </w:tcBorders>
          </w:tcPr>
          <w:p w:rsidRPr="005C0032" w:rsidR="00611A41" w:rsidP="00BA2297" w:rsidRDefault="00611A41">
            <w:pPr>
              <w:jc w:val="both"/>
              <w:rPr>
                <w:lang w:val="lv-LV"/>
              </w:rPr>
            </w:pPr>
            <w:r>
              <w:rPr>
                <w:lang w:val="lv-LV"/>
              </w:rPr>
              <w:t>Ņemot vērā, ka n</w:t>
            </w:r>
            <w:r w:rsidRPr="005C0032">
              <w:rPr>
                <w:lang w:val="lv-LV"/>
              </w:rPr>
              <w:t xml:space="preserve">oteikumi paredz zaudējumu atlīdzību par kultūras piemineklim nodarītiem bojājumiem, kuru sekas nevar novērst ar atjaunošanu, </w:t>
            </w:r>
            <w:r w:rsidRPr="00BA2297">
              <w:rPr>
                <w:b/>
                <w:lang w:val="lv-LV"/>
              </w:rPr>
              <w:t>rosinām mainīt noteikumos paredzēto zaudējumu atlīdzības atlīdzināšanas kārtību.</w:t>
            </w:r>
            <w:r w:rsidRPr="005C0032">
              <w:rPr>
                <w:lang w:val="lv-LV"/>
              </w:rPr>
              <w:t xml:space="preserve"> Noteikumos paredzēto mērķi var </w:t>
            </w:r>
            <w:r>
              <w:rPr>
                <w:lang w:val="lv-LV"/>
              </w:rPr>
              <w:t>sasniegt ar vienkāršāko kārtību zaudējumu atlīdzības jautājumu</w:t>
            </w:r>
            <w:r w:rsidRPr="005C0032">
              <w:rPr>
                <w:lang w:val="lv-LV"/>
              </w:rPr>
              <w:t xml:space="preserve"> risinot administratīvā procesa i</w:t>
            </w:r>
            <w:r>
              <w:rPr>
                <w:lang w:val="lv-LV"/>
              </w:rPr>
              <w:t xml:space="preserve">etvaros. Kā piemēru norādām </w:t>
            </w:r>
            <w:r w:rsidRPr="005C0032">
              <w:rPr>
                <w:lang w:val="lv-LV"/>
              </w:rPr>
              <w:t>Ministru kabineta 02.05.2012. noteikumus Nr. 309 “Noteikumi par koku ciršanu ārpus meža”.</w:t>
            </w:r>
          </w:p>
        </w:tc>
      </w:tr>
      <w:tr w:rsidRPr="005C0032" w:rsidR="00611A41" w:rsidTr="00EA4381">
        <w:trPr>
          <w:trHeight w:val="70"/>
        </w:trPr>
        <w:tc>
          <w:tcPr>
            <w:tcW w:w="709" w:type="dxa"/>
            <w:tcBorders>
              <w:top w:val="single" w:color="auto" w:sz="4" w:space="0"/>
              <w:left w:val="single" w:color="auto" w:sz="4" w:space="0"/>
              <w:bottom w:val="single" w:color="auto" w:sz="4" w:space="0"/>
              <w:right w:val="single" w:color="auto" w:sz="4" w:space="0"/>
            </w:tcBorders>
            <w:vAlign w:val="center"/>
          </w:tcPr>
          <w:p w:rsidRPr="005C0032" w:rsidR="00611A41" w:rsidP="00611A41" w:rsidRDefault="00611A41">
            <w:pPr>
              <w:jc w:val="center"/>
              <w:rPr>
                <w:bCs/>
                <w:lang w:val="lv-LV"/>
              </w:rPr>
            </w:pPr>
            <w:r>
              <w:rPr>
                <w:bCs/>
                <w:lang w:val="lv-LV"/>
              </w:rPr>
              <w:t>15.</w:t>
            </w:r>
          </w:p>
        </w:tc>
        <w:tc>
          <w:tcPr>
            <w:tcW w:w="7088" w:type="dxa"/>
            <w:gridSpan w:val="2"/>
            <w:tcBorders>
              <w:top w:val="single" w:color="auto" w:sz="4" w:space="0"/>
              <w:left w:val="single" w:color="auto" w:sz="4" w:space="0"/>
              <w:bottom w:val="single" w:color="auto" w:sz="4" w:space="0"/>
              <w:right w:val="single" w:color="auto" w:sz="4" w:space="0"/>
            </w:tcBorders>
          </w:tcPr>
          <w:p w:rsidRPr="00BA2297" w:rsidR="00611A41" w:rsidP="005C0032" w:rsidRDefault="00611A41">
            <w:pPr>
              <w:jc w:val="both"/>
              <w:rPr>
                <w:b/>
                <w:lang w:val="lv-LV"/>
              </w:rPr>
            </w:pPr>
            <w:r w:rsidRPr="00BA2297">
              <w:rPr>
                <w:b/>
                <w:lang w:val="lv-LV"/>
              </w:rPr>
              <w:t>Noteikumu projekts neparedz grozījumus:</w:t>
            </w:r>
          </w:p>
        </w:tc>
        <w:tc>
          <w:tcPr>
            <w:tcW w:w="7513" w:type="dxa"/>
            <w:tcBorders>
              <w:top w:val="single" w:color="auto" w:sz="4" w:space="0"/>
              <w:left w:val="single" w:color="auto" w:sz="4" w:space="0"/>
              <w:bottom w:val="single" w:color="auto" w:sz="4" w:space="0"/>
              <w:right w:val="single" w:color="auto" w:sz="4" w:space="0"/>
            </w:tcBorders>
          </w:tcPr>
          <w:p w:rsidRPr="00BA2297" w:rsidR="00611A41" w:rsidP="00BA2297" w:rsidRDefault="00611A41">
            <w:pPr>
              <w:jc w:val="both"/>
              <w:rPr>
                <w:b/>
                <w:lang w:val="lv-LV"/>
              </w:rPr>
            </w:pPr>
            <w:r w:rsidRPr="00BA2297">
              <w:rPr>
                <w:b/>
                <w:lang w:val="lv-LV"/>
              </w:rPr>
              <w:t>Rosinām noteikumos noteikt kārtību, ka visi nepieciešamie dokumenti pašvaldībā iesniedzami elektroniski.</w:t>
            </w:r>
          </w:p>
        </w:tc>
      </w:tr>
    </w:tbl>
    <w:p w:rsidRPr="005C0032" w:rsidR="00B40F4A" w:rsidP="007C3313" w:rsidRDefault="00B40F4A">
      <w:pPr>
        <w:jc w:val="both"/>
        <w:rPr>
          <w:lang w:val="lv-LV"/>
        </w:rPr>
      </w:pPr>
    </w:p>
    <w:sectPr w:rsidRPr="005C0032" w:rsidR="00B40F4A" w:rsidSect="000253CD">
      <w:footerReference w:type="default" r:id="rId7"/>
      <w:footerReference w:type="first" r:id="rId8"/>
      <w:pgSz w:w="16838" w:h="11906" w:orient="landscape"/>
      <w:pgMar w:top="567" w:right="1440" w:bottom="56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73" w:rsidRDefault="00371E73" w:rsidP="00EE60F5">
      <w:r>
        <w:separator/>
      </w:r>
    </w:p>
  </w:endnote>
  <w:endnote w:type="continuationSeparator" w:id="0">
    <w:p w:rsidR="00371E73" w:rsidRDefault="00371E73" w:rsidP="00EE6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F5" w:rsidRDefault="00EE60F5">
    <w:pPr>
      <w:pStyle w:val="Kjene"/>
      <w:jc w:val="center"/>
    </w:pPr>
    <w:fldSimple w:instr="PAGE   \* MERGEFORMAT">
      <w:r w:rsidR="00D22F57" w:rsidRPr="00D22F57">
        <w:rPr>
          <w:noProof/>
          <w:lang w:val="lv-LV"/>
        </w:rPr>
        <w:t>2</w:t>
      </w:r>
    </w:fldSimple>
  </w:p>
  <w:p w:rsidR="00EE60F5" w:rsidRDefault="00EE60F5">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81" w:rsidRDefault="00EA4381">
    <w:pPr>
      <w:pStyle w:val="Kjene"/>
      <w:jc w:val="center"/>
    </w:pPr>
    <w:fldSimple w:instr="PAGE   \* MERGEFORMAT">
      <w:r w:rsidR="00D22F57" w:rsidRPr="00D22F57">
        <w:rPr>
          <w:noProof/>
          <w:lang w:val="lv-LV"/>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73" w:rsidRDefault="00371E73" w:rsidP="00EE60F5">
      <w:r>
        <w:separator/>
      </w:r>
    </w:p>
  </w:footnote>
  <w:footnote w:type="continuationSeparator" w:id="0">
    <w:p w:rsidR="00371E73" w:rsidRDefault="00371E73" w:rsidP="00EE6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FC431D"/>
    <w:multiLevelType w:val="multilevel"/>
    <w:tmpl w:val="CE2878D0"/>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36407F34"/>
    <w:multiLevelType w:val="multilevel"/>
    <w:tmpl w:val="28D6EC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1B3C28"/>
    <w:multiLevelType w:val="multilevel"/>
    <w:tmpl w:val="177065A0"/>
    <w:lvl w:ilvl="0">
      <w:start w:val="43"/>
      <w:numFmt w:val="decimal"/>
      <w:lvlText w:val="%1."/>
      <w:lvlJc w:val="left"/>
      <w:pPr>
        <w:ind w:left="600" w:hanging="60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69CC0FE5"/>
    <w:multiLevelType w:val="multilevel"/>
    <w:tmpl w:val="F9F0F0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E3ED7"/>
    <w:rsid w:val="00015248"/>
    <w:rsid w:val="00017A29"/>
    <w:rsid w:val="000253CD"/>
    <w:rsid w:val="00050A3F"/>
    <w:rsid w:val="00065E8F"/>
    <w:rsid w:val="000665ED"/>
    <w:rsid w:val="00095719"/>
    <w:rsid w:val="000C21D0"/>
    <w:rsid w:val="000D3678"/>
    <w:rsid w:val="00102D80"/>
    <w:rsid w:val="001046D4"/>
    <w:rsid w:val="0011030C"/>
    <w:rsid w:val="001237FF"/>
    <w:rsid w:val="00145098"/>
    <w:rsid w:val="00145B51"/>
    <w:rsid w:val="0015266A"/>
    <w:rsid w:val="00157E7D"/>
    <w:rsid w:val="001C097E"/>
    <w:rsid w:val="00281B67"/>
    <w:rsid w:val="002832DB"/>
    <w:rsid w:val="003170A2"/>
    <w:rsid w:val="00371E73"/>
    <w:rsid w:val="00392C9A"/>
    <w:rsid w:val="00393E78"/>
    <w:rsid w:val="003D4AFF"/>
    <w:rsid w:val="003F1476"/>
    <w:rsid w:val="00475753"/>
    <w:rsid w:val="004A26EF"/>
    <w:rsid w:val="004A2974"/>
    <w:rsid w:val="004E000F"/>
    <w:rsid w:val="004E2AD6"/>
    <w:rsid w:val="004E3536"/>
    <w:rsid w:val="004E3ED7"/>
    <w:rsid w:val="004F6854"/>
    <w:rsid w:val="004F7788"/>
    <w:rsid w:val="005300D6"/>
    <w:rsid w:val="005543D8"/>
    <w:rsid w:val="0057036D"/>
    <w:rsid w:val="00576D22"/>
    <w:rsid w:val="005B59A2"/>
    <w:rsid w:val="005C0032"/>
    <w:rsid w:val="005D6833"/>
    <w:rsid w:val="005F34BD"/>
    <w:rsid w:val="00602334"/>
    <w:rsid w:val="00611A41"/>
    <w:rsid w:val="0068493D"/>
    <w:rsid w:val="006F08A1"/>
    <w:rsid w:val="006F70B4"/>
    <w:rsid w:val="007177E7"/>
    <w:rsid w:val="00721E14"/>
    <w:rsid w:val="00744119"/>
    <w:rsid w:val="007C3313"/>
    <w:rsid w:val="0080735C"/>
    <w:rsid w:val="008C3004"/>
    <w:rsid w:val="008C5900"/>
    <w:rsid w:val="008E45B7"/>
    <w:rsid w:val="008F3325"/>
    <w:rsid w:val="009006E0"/>
    <w:rsid w:val="00906999"/>
    <w:rsid w:val="00936C34"/>
    <w:rsid w:val="00975E9F"/>
    <w:rsid w:val="00A018FF"/>
    <w:rsid w:val="00A82029"/>
    <w:rsid w:val="00A84299"/>
    <w:rsid w:val="00AD35A7"/>
    <w:rsid w:val="00AE1033"/>
    <w:rsid w:val="00B40BED"/>
    <w:rsid w:val="00B40F4A"/>
    <w:rsid w:val="00B44C19"/>
    <w:rsid w:val="00B66B62"/>
    <w:rsid w:val="00B82AB2"/>
    <w:rsid w:val="00BA2297"/>
    <w:rsid w:val="00BF7F6C"/>
    <w:rsid w:val="00C2254C"/>
    <w:rsid w:val="00D0585F"/>
    <w:rsid w:val="00D13C63"/>
    <w:rsid w:val="00D22F57"/>
    <w:rsid w:val="00D24E12"/>
    <w:rsid w:val="00D77F9F"/>
    <w:rsid w:val="00D96677"/>
    <w:rsid w:val="00DF6640"/>
    <w:rsid w:val="00DF6E4C"/>
    <w:rsid w:val="00E000FB"/>
    <w:rsid w:val="00E430FF"/>
    <w:rsid w:val="00E87256"/>
    <w:rsid w:val="00EA242A"/>
    <w:rsid w:val="00EA4381"/>
    <w:rsid w:val="00EA7162"/>
    <w:rsid w:val="00EE60F5"/>
    <w:rsid w:val="00EF14E1"/>
    <w:rsid w:val="00F37147"/>
    <w:rsid w:val="00FA6CA6"/>
    <w:rsid w:val="00FB505A"/>
    <w:rsid w:val="00FC6F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Parasts"/>
    <w:qFormat/>
    <w:rsid w:val="004E3ED7"/>
    <w:rPr>
      <w:sz w:val="24"/>
      <w:szCs w:val="24"/>
      <w:lang w:val="en-US" w:eastAsia="en-US"/>
    </w:rPr>
  </w:style>
  <w:style w:type="paragraph" w:styleId="Virsraksts1">
    <w:name w:val="heading 1"/>
    <w:basedOn w:val="Parasts"/>
    <w:next w:val="Parasts"/>
    <w:link w:val="Virsraksts1Rakstz"/>
    <w:qFormat/>
    <w:rsid w:val="004E3ED7"/>
    <w:pPr>
      <w:keepNext/>
      <w:jc w:val="both"/>
      <w:outlineLvl w:val="0"/>
    </w:pPr>
    <w:rPr>
      <w:b/>
      <w:bCs/>
      <w:sz w:val="28"/>
      <w:szCs w:val="28"/>
      <w:lang w:val="lv-LV"/>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character" w:customStyle="1" w:styleId="Virsraksts1Rakstz">
    <w:name w:val="Virsraksts 1 Rakstz."/>
    <w:link w:val="Virsraksts1"/>
    <w:locked/>
    <w:rsid w:val="004E3ED7"/>
    <w:rPr>
      <w:b/>
      <w:bCs/>
      <w:sz w:val="28"/>
      <w:szCs w:val="28"/>
      <w:lang w:val="lv-LV" w:eastAsia="en-US" w:bidi="ar-SA"/>
    </w:rPr>
  </w:style>
  <w:style w:type="paragraph" w:customStyle="1" w:styleId="1">
    <w:name w:val="1"/>
    <w:basedOn w:val="Parasts"/>
    <w:rsid w:val="004E3ED7"/>
    <w:pPr>
      <w:spacing w:after="160" w:line="240" w:lineRule="exact"/>
    </w:pPr>
    <w:rPr>
      <w:rFonts w:ascii="Tahoma" w:hAnsi="Tahoma"/>
      <w:sz w:val="20"/>
      <w:szCs w:val="20"/>
    </w:rPr>
  </w:style>
  <w:style w:type="paragraph" w:styleId="Balonteksts">
    <w:name w:val="Balloon Text"/>
    <w:basedOn w:val="Parasts"/>
    <w:semiHidden/>
    <w:rsid w:val="003F1476"/>
    <w:rPr>
      <w:rFonts w:ascii="Tahoma" w:hAnsi="Tahoma" w:cs="Tahoma"/>
      <w:sz w:val="16"/>
      <w:szCs w:val="16"/>
    </w:rPr>
  </w:style>
  <w:style w:type="paragraph" w:customStyle="1" w:styleId="tv2131">
    <w:name w:val="tv2131"/>
    <w:basedOn w:val="Parasts"/>
    <w:rsid w:val="00B44C19"/>
    <w:pPr>
      <w:spacing w:line="360" w:lineRule="auto"/>
      <w:ind w:firstLine="300"/>
    </w:pPr>
    <w:rPr>
      <w:color w:val="414142"/>
      <w:sz w:val="20"/>
      <w:szCs w:val="20"/>
      <w:lang w:val="lv-LV" w:eastAsia="lv-LV"/>
    </w:rPr>
  </w:style>
  <w:style w:type="paragraph" w:customStyle="1" w:styleId="tv213">
    <w:name w:val="tv213"/>
    <w:basedOn w:val="Parasts"/>
    <w:rsid w:val="0068493D"/>
    <w:pPr>
      <w:spacing w:before="100" w:beforeAutospacing="1" w:after="100" w:afterAutospacing="1"/>
    </w:pPr>
    <w:rPr>
      <w:lang w:val="lv-LV" w:eastAsia="lv-LV"/>
    </w:rPr>
  </w:style>
  <w:style w:type="paragraph" w:styleId="Sarakstarindkopa">
    <w:name w:val="List Paragraph"/>
    <w:basedOn w:val="Parasts"/>
    <w:link w:val="SarakstarindkopaRakstz"/>
    <w:uiPriority w:val="34"/>
    <w:qFormat/>
    <w:rsid w:val="00DF6640"/>
    <w:pPr>
      <w:ind w:left="720"/>
      <w:contextualSpacing/>
    </w:pPr>
    <w:rPr>
      <w:rFonts w:eastAsia="Calibri"/>
      <w:szCs w:val="22"/>
      <w:lang w:val="lv-LV"/>
    </w:rPr>
  </w:style>
  <w:style w:type="character" w:customStyle="1" w:styleId="SarakstarindkopaRakstz">
    <w:name w:val="Saraksta rindkopa Rakstz."/>
    <w:link w:val="Sarakstarindkopa"/>
    <w:rsid w:val="00DF6640"/>
    <w:rPr>
      <w:rFonts w:eastAsia="Calibri"/>
      <w:sz w:val="24"/>
      <w:szCs w:val="22"/>
      <w:lang w:val="lv-LV"/>
    </w:rPr>
  </w:style>
  <w:style w:type="paragraph" w:styleId="Galvene">
    <w:name w:val="header"/>
    <w:basedOn w:val="Parasts"/>
    <w:link w:val="GalveneRakstz"/>
    <w:rsid w:val="00EE60F5"/>
    <w:pPr>
      <w:tabs>
        <w:tab w:val="center" w:pos="4153"/>
        <w:tab w:val="right" w:pos="8306"/>
      </w:tabs>
    </w:pPr>
  </w:style>
  <w:style w:type="character" w:customStyle="1" w:styleId="GalveneRakstz">
    <w:name w:val="Galvene Rakstz."/>
    <w:link w:val="Galvene"/>
    <w:rsid w:val="00EE60F5"/>
    <w:rPr>
      <w:sz w:val="24"/>
      <w:szCs w:val="24"/>
      <w:lang w:val="en-US" w:eastAsia="en-US"/>
    </w:rPr>
  </w:style>
  <w:style w:type="paragraph" w:styleId="Kjene">
    <w:name w:val="footer"/>
    <w:basedOn w:val="Parasts"/>
    <w:link w:val="KjeneRakstz"/>
    <w:uiPriority w:val="99"/>
    <w:rsid w:val="00EE60F5"/>
    <w:pPr>
      <w:tabs>
        <w:tab w:val="center" w:pos="4153"/>
        <w:tab w:val="right" w:pos="8306"/>
      </w:tabs>
    </w:pPr>
  </w:style>
  <w:style w:type="character" w:customStyle="1" w:styleId="KjeneRakstz">
    <w:name w:val="Kājene Rakstz."/>
    <w:link w:val="Kjene"/>
    <w:uiPriority w:val="99"/>
    <w:rsid w:val="00EE60F5"/>
    <w:rPr>
      <w:sz w:val="24"/>
      <w:szCs w:val="24"/>
      <w:lang w:val="en-US" w:eastAsia="en-US"/>
    </w:rPr>
  </w:style>
  <w:style w:type="paragraph" w:styleId="Vresteksts">
    <w:name w:val="footnote text"/>
    <w:aliases w:val="Footnote Text Char2 Char,Footnote Text Char1 Char2 Char,Footnote Text Char Char Char Char,Footnote Text Char1 Char Char Char Char,Footnote Text Char Char Char Char Char Char,Rakstz.,Footnote,Fußnote,single space,ft Rakstz. Rakstz,Char,ft"/>
    <w:basedOn w:val="Parasts"/>
    <w:link w:val="VrestekstsRakstz"/>
    <w:uiPriority w:val="99"/>
    <w:unhideWhenUsed/>
    <w:qFormat/>
    <w:rsid w:val="007177E7"/>
    <w:rPr>
      <w:rFonts w:ascii="Calibri" w:eastAsia="Calibri" w:hAnsi="Calibri"/>
      <w:sz w:val="20"/>
      <w:szCs w:val="20"/>
      <w:lang w:val="lv-LV"/>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Rakstz. Rakstz."/>
    <w:link w:val="Vresteksts"/>
    <w:uiPriority w:val="99"/>
    <w:rsid w:val="007177E7"/>
    <w:rPr>
      <w:rFonts w:ascii="Calibri" w:eastAsia="Calibri" w:hAnsi="Calibri"/>
      <w:lang w:eastAsia="en-US"/>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rsid w:val="007177E7"/>
    <w:rPr>
      <w:vertAlign w:val="superscript"/>
    </w:rPr>
  </w:style>
  <w:style w:type="character" w:styleId="Komentraatsauce">
    <w:name w:val="annotation reference"/>
    <w:unhideWhenUsed/>
    <w:rsid w:val="007177E7"/>
    <w:rPr>
      <w:sz w:val="16"/>
      <w:szCs w:val="16"/>
    </w:rPr>
  </w:style>
  <w:style w:type="paragraph" w:styleId="Komentrateksts">
    <w:name w:val="annotation text"/>
    <w:basedOn w:val="Parasts"/>
    <w:link w:val="KomentratekstsRakstz"/>
    <w:unhideWhenUsed/>
    <w:rsid w:val="007177E7"/>
    <w:pPr>
      <w:spacing w:after="160"/>
    </w:pPr>
    <w:rPr>
      <w:rFonts w:ascii="Calibri" w:eastAsia="Calibri" w:hAnsi="Calibri"/>
      <w:sz w:val="20"/>
      <w:szCs w:val="20"/>
      <w:lang w:val="lv-LV"/>
    </w:rPr>
  </w:style>
  <w:style w:type="character" w:customStyle="1" w:styleId="KomentratekstsRakstz">
    <w:name w:val="Komentāra teksts Rakstz."/>
    <w:link w:val="Komentrateksts"/>
    <w:rsid w:val="007177E7"/>
    <w:rPr>
      <w:rFonts w:ascii="Calibri" w:eastAsia="Calibri" w:hAnsi="Calibri"/>
      <w:lang w:eastAsia="en-US"/>
    </w:rPr>
  </w:style>
  <w:style w:type="paragraph" w:customStyle="1" w:styleId="CharCharCharChar">
    <w:name w:val="Char Char Char Char"/>
    <w:aliases w:val="Char2"/>
    <w:basedOn w:val="Parasts"/>
    <w:next w:val="Parasts"/>
    <w:link w:val="Vresatsauce"/>
    <w:uiPriority w:val="99"/>
    <w:semiHidden/>
    <w:rsid w:val="007177E7"/>
    <w:pPr>
      <w:keepNext/>
      <w:keepLines/>
      <w:spacing w:before="120" w:after="160" w:line="240" w:lineRule="exact"/>
      <w:jc w:val="both"/>
      <w:outlineLvl w:val="0"/>
    </w:pPr>
    <w:rPr>
      <w:sz w:val="20"/>
      <w:szCs w:val="20"/>
      <w:vertAlign w:val="superscript"/>
      <w:lang w:val="lv-LV" w:eastAsia="lv-LV"/>
    </w:rPr>
  </w:style>
  <w:style w:type="character" w:styleId="Hipersaite">
    <w:name w:val="Hyperlink"/>
    <w:uiPriority w:val="99"/>
    <w:unhideWhenUsed/>
    <w:rsid w:val="00145098"/>
    <w:rPr>
      <w:color w:val="0000FF"/>
      <w:u w:val="single"/>
    </w:rPr>
  </w:style>
</w:styles>
</file>

<file path=word/webSettings.xml><?xml version="1.0" encoding="utf-8"?>
<w:webSettings xmlns:r="http://schemas.openxmlformats.org/officeDocument/2006/relationships" xmlns:w="http://schemas.openxmlformats.org/wordprocessingml/2006/main">
  <w:divs>
    <w:div w:id="77290683">
      <w:bodyDiv w:val="1"/>
      <w:marLeft w:val="0"/>
      <w:marRight w:val="0"/>
      <w:marTop w:val="0"/>
      <w:marBottom w:val="0"/>
      <w:divBdr>
        <w:top w:val="none" w:sz="0" w:space="0" w:color="auto"/>
        <w:left w:val="none" w:sz="0" w:space="0" w:color="auto"/>
        <w:bottom w:val="none" w:sz="0" w:space="0" w:color="auto"/>
        <w:right w:val="none" w:sz="0" w:space="0" w:color="auto"/>
      </w:divBdr>
    </w:div>
    <w:div w:id="328991462">
      <w:bodyDiv w:val="1"/>
      <w:marLeft w:val="0"/>
      <w:marRight w:val="0"/>
      <w:marTop w:val="0"/>
      <w:marBottom w:val="0"/>
      <w:divBdr>
        <w:top w:val="none" w:sz="0" w:space="0" w:color="auto"/>
        <w:left w:val="none" w:sz="0" w:space="0" w:color="auto"/>
        <w:bottom w:val="none" w:sz="0" w:space="0" w:color="auto"/>
        <w:right w:val="none" w:sz="0" w:space="0" w:color="auto"/>
      </w:divBdr>
    </w:div>
    <w:div w:id="545601243">
      <w:bodyDiv w:val="1"/>
      <w:marLeft w:val="0"/>
      <w:marRight w:val="0"/>
      <w:marTop w:val="0"/>
      <w:marBottom w:val="0"/>
      <w:divBdr>
        <w:top w:val="none" w:sz="0" w:space="0" w:color="auto"/>
        <w:left w:val="none" w:sz="0" w:space="0" w:color="auto"/>
        <w:bottom w:val="none" w:sz="0" w:space="0" w:color="auto"/>
        <w:right w:val="none" w:sz="0" w:space="0" w:color="auto"/>
      </w:divBdr>
    </w:div>
    <w:div w:id="745104705">
      <w:bodyDiv w:val="1"/>
      <w:marLeft w:val="0"/>
      <w:marRight w:val="0"/>
      <w:marTop w:val="0"/>
      <w:marBottom w:val="0"/>
      <w:divBdr>
        <w:top w:val="none" w:sz="0" w:space="0" w:color="auto"/>
        <w:left w:val="none" w:sz="0" w:space="0" w:color="auto"/>
        <w:bottom w:val="none" w:sz="0" w:space="0" w:color="auto"/>
        <w:right w:val="none" w:sz="0" w:space="0" w:color="auto"/>
      </w:divBdr>
    </w:div>
    <w:div w:id="883640564">
      <w:bodyDiv w:val="1"/>
      <w:marLeft w:val="0"/>
      <w:marRight w:val="0"/>
      <w:marTop w:val="0"/>
      <w:marBottom w:val="0"/>
      <w:divBdr>
        <w:top w:val="none" w:sz="0" w:space="0" w:color="auto"/>
        <w:left w:val="none" w:sz="0" w:space="0" w:color="auto"/>
        <w:bottom w:val="none" w:sz="0" w:space="0" w:color="auto"/>
        <w:right w:val="none" w:sz="0" w:space="0" w:color="auto"/>
      </w:divBdr>
    </w:div>
    <w:div w:id="1076168984">
      <w:bodyDiv w:val="1"/>
      <w:marLeft w:val="0"/>
      <w:marRight w:val="0"/>
      <w:marTop w:val="0"/>
      <w:marBottom w:val="0"/>
      <w:divBdr>
        <w:top w:val="none" w:sz="0" w:space="0" w:color="auto"/>
        <w:left w:val="none" w:sz="0" w:space="0" w:color="auto"/>
        <w:bottom w:val="none" w:sz="0" w:space="0" w:color="auto"/>
        <w:right w:val="none" w:sz="0" w:space="0" w:color="auto"/>
      </w:divBdr>
    </w:div>
    <w:div w:id="1111434351">
      <w:bodyDiv w:val="1"/>
      <w:marLeft w:val="0"/>
      <w:marRight w:val="0"/>
      <w:marTop w:val="0"/>
      <w:marBottom w:val="0"/>
      <w:divBdr>
        <w:top w:val="none" w:sz="0" w:space="0" w:color="auto"/>
        <w:left w:val="none" w:sz="0" w:space="0" w:color="auto"/>
        <w:bottom w:val="none" w:sz="0" w:space="0" w:color="auto"/>
        <w:right w:val="none" w:sz="0" w:space="0" w:color="auto"/>
      </w:divBdr>
    </w:div>
    <w:div w:id="1466385870">
      <w:bodyDiv w:val="1"/>
      <w:marLeft w:val="0"/>
      <w:marRight w:val="0"/>
      <w:marTop w:val="0"/>
      <w:marBottom w:val="0"/>
      <w:divBdr>
        <w:top w:val="none" w:sz="0" w:space="0" w:color="auto"/>
        <w:left w:val="none" w:sz="0" w:space="0" w:color="auto"/>
        <w:bottom w:val="none" w:sz="0" w:space="0" w:color="auto"/>
        <w:right w:val="none" w:sz="0" w:space="0" w:color="auto"/>
      </w:divBdr>
    </w:div>
    <w:div w:id="1503008932">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9066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8642</Words>
  <Characters>4926</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iebildumiem vai priekšlikumiem</vt:lpstr>
      <vt:lpstr>Izziņa iebildumiem vai priekšlikumiem</vt:lpstr>
    </vt:vector>
  </TitlesOfParts>
  <Company>dome</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iebildumiem vai priekšlikumiem</dc:title>
  <dc:creator>Administrators</dc:creator>
  <cp:lastModifiedBy>LeldeP</cp:lastModifiedBy>
  <cp:revision>2</cp:revision>
  <cp:lastPrinted>2019-03-08T09:57:00Z</cp:lastPrinted>
  <dcterms:created xsi:type="dcterms:W3CDTF">2019-03-12T16:45:00Z</dcterms:created>
  <dcterms:modified xsi:type="dcterms:W3CDTF">2019-03-12T16:45:00Z</dcterms:modified>
</cp:coreProperties>
</file>