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5. septembra noteikumos Nr. 537 "Noteikumi par portfeļgarantijām sīko (mikro), mazo un vidējo saimnieciskās darbības veicēju – juridisko personu – kreditēšanas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par līdzšinēji piemērotām vadības maksām komercbankām un kāds vadības maksu apmērs tiek plānots ES fondu 2021.-2027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 programma neparedz vadības maksu segšanu komercbankām, tā kā programmai piešķirtais publiskais finansējums tiek izmantots riska segumam, kas noteikts kā kredītiestādes aizdevumu portfeļa maksimālā zaudējumu summa (ierobežotā garantijas summa jeb </w:t>
            </w:r>
            <w:r w:rsidR="00000000" w:rsidRPr="00000000" w:rsidDel="00000000">
              <w:rPr>
                <w:i w:val="1"/>
                <w:rtl w:val="0"/>
              </w:rPr>
              <w:t xml:space="preserve">guarantee cap </w:t>
            </w:r>
            <w:r w:rsidR="00000000" w:rsidRPr="00000000" w:rsidDel="00000000">
              <w:rPr>
                <w:i w:val="1"/>
                <w:rtl w:val="0"/>
              </w:rPr>
              <w:t xml:space="preserve">amoun</w:t>
            </w:r>
            <w:r w:rsidR="00000000" w:rsidRPr="00000000" w:rsidDel="00000000">
              <w:rPr>
                <w:rtl w:val="0"/>
              </w:rPr>
              <w:t xml:space="preserve">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3.punktā izteikto Finanšu ministrijas iebildumu un lūdzam papildināt anotācijas 1.3.sadaļas 4.punktu “Cita informācija” ar pasākuma plānoto ietekmi uz attīstības plānošanas dokumentos noteikto mērķu sasniegšanu, piemēram, norādot atsauci uz Latvijas nacionālais attīstības plāns 2021.–2027. gadam un citiem nacionāla līmeņa plānošanas dokumentiem, kur ir noteikta portfeļgarantiju atbalsta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sniegto informāciju par ietekmi uz IKP, norādot šī pasākuma ieguldījumu privāto investīciju piesaistē, proti, par cik procentiem palielināsies privāto investīciju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sadaļās 4.punkts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papildus informāciju par atbalsta ietvaros komercbankām izvirzāmiem sasniedzamajiem rādītājiem, piemēram, atbalstīto unikālo komersantu skaits, garantēto aizdevumu apmērs, piesaistītais privātais līdzfinansējums, u.c. Vienlaikus lūdzam skaidrot vai ir paredzētas sankcijas par šo rādītāju neizpildi, piemēram, vadības maksas samazinājums, vai citi.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ietvaros sasniedzamie rezultatīvie rādītāji ir noteikti attiecīgā pasākuma ietvaros atbilstoši Darbības Programmas ietvaros, proti, 100 komersanti. Par rādītāju neizpildi šādas sankcijas komercbankām netiek piemērotas, kā minēts iepriekš, ņemot vērā, ka komercbankām netiek segtas vadības maksas. Skaidrojam, ka portfeļgarantiju programmas ietvaros  komercbankas tiek atlasītas atklātā  atlases procedūrā, un līgumā ar kredītiestādēm ir noteikta minimālā aizdevumu kopsumma, kuru kredītiestādei būs jāsasniedz noteiktā termiņā. Ja minētie rādītāji noteiktajā termiņā nav sasniegti, sabiedrība Altum var lemt par pieejamā riska seguma pārdali starp kredītiestādēm līguma īstenošanas laikā. Šī nosacījuma mērķis ir izvairīties no situācijas, kad kredītiestādei ir pieejams finansējums, taču tā neizmanto programmas finansējumu un neveido jaunu aizdevumu portfeli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pēc iespējas kvantitatīvu novērtējumu par investīcijas efektivitāti, plānoto ietekmi uz attīstības plānošanas dokumentos noteikto mērķu sasniegšanu, informāciju par atdevi un ietekmi uz ekonomikas transformāciju, kā arī potenciālo ietekmi uz IKP.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zem 1.3. apakšpunkta 4.punkta.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sniegtā atbalsta disproporciju Latvijas reģionu griezumā, lūdzam sniegt skaidrojumu kā Altum sekmēs aizdevumu pieejamību Latgales reģionā.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skaidrojums anotācijā, ka Lai veicinātu atbalsta pieejamību Latgales reģionā, 1.2.3.4. pasākuma ieviešanā tiks iesaistīts Altum reģionālais centrs Rēzeknē, kā arī komersantiem ir pieejams konsultāciju sniegšanas centrs Daugavpilī. Ekonomikas ministrija atbilstoši komunikācijas plānam īstenos informatīvos reģionālos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risinājuma apraksta sadaļu par pieejamo finansējumu, lai tas atbilstu ietekmes uz budžetu tabulas 6.punktā norādītajam ERAF finansējuma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pie anotācijas risinājuma apraksta 1. punktā vienādojot tekstu ar budžeta tabulas 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5., 7. un 8.ailē atspoguļoto ietekmi uz budžetu, ievērojot, ka budžeta ieņēmumi (1. un 1.1.punkts) ir ERAF finansējuma daļa, budžeta izdevumi (2. un 2.1.punkts) - kopējais pieejamais finansējums, savukārt finansiālā ietekme (3., 3.1., 5. un 5.1.punkts) ir valsts budžeta finansējuma daļa. Vienlaikus 6.punktā lūdzam iekļaut informāciju par finansējuma sadalījumu pa gadiem un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3.sadaļā, papildinot 6. punktu ar finansējuma sadalījumu pa gadiem un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 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pielikumā ir pievienojusi programmas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atbalsta piešķiršanas nosacījumus, finansēšanas kārtību un valsts atbalsta nosacījumus sīkajiem (mikro), mazajiem un vidējiem, kā arī mazajās un vidējās kapitalizācijas saimnieciskās darbības veicējiem – juridiskām personām (turpmāk – saimnieciskās darbības veicēji) – ierobežotas portfeļgarantijas veidā, Covid-19 izraisītās krīzes portfeļgarantijas nosacījumus un Eiropas Savienības kohēzijas politikas programmas 2021.-2027.gadam 1.2.3. specifiskā atbalsta mērķa "Veicināt ilgtspējīgu izaugsmi, konkurētspēju un darba vietu radīšanu MVU, tostarp ar produktīvām investīcijām" 1.2.3.4. pasākuma “Garantijas, portfeļgarantijas pilna cikla uzņēmējdarbībai (turpmāk – 1.2.3.4. pasākums)” portfeļgarantiju nosacījumus tiešo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2017. gada 5. septembra noteikumi Nr. 537 "Noteikumi par portfeļgarantijām sīko (mikro), mazo un vidējo saimnieciskās darbības veicēju – juridisko personu – kreditēšanas veicināšanai" tiek īstenoti saskaņā ar ES fondu uzraudzība komitejā 2015.gada 30.aprīlī saskaņoto ex-ante novērtējumu, tad atbalsts mazām vidējās kapitalizācijas sabiedrībām un vidējām kapitalizācijas sabiedrībām šobrīd nav paredzēts minētajā ex-ante novērtējumā. Attiecīgi lūdzam skaidri noteikt, ka atbalsts mazām vidējās kapitalizācijas sabiedrībām un vidējām kapitalizācijas sabiedrībām ir attiecināms tikai uz 1.2.3.4.pasākumu.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šo noteikumu 10.1.apakšpunktu, vienlaikus tajā nosakot, ka atbalsts pieejams arī mazām vidējās kapitalizācijas sabiedrībām, jo šobrīd minētajā apakšpunktā ir noteikts atbalsts tikai vidējās kapitalizācijas 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pirmajā un 10.1.apakšpunktā.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atbalsta piešķiršanas nosacījumus, finansēšanas kārtību un valsts atbalsta nosacījumus sīkajiem (mikro), mazajiem un vidējiem, kā arī mazas vidējās kapitalizācijas un vidējās kapitalizācijas saimnieciskās darbības veicējiem (attiecināms tikai uz 1.2.3.4.pasākumu) – juridiskām personām (turpmāk – saimnieciskās darbības veicēji) – ierobežotas portfeļgarantijas veidā, Covid-19 izraisītās krīzes portfeļgarantijas nosacījumus un Eiropas Savienības kohēzijas politikas programmas 2021.-2027.gadam 1.2.3. specifiskā atbalsta mērķa "Veicināt ilgtspējīgu izaugsmi, konkurētspēju un darba vietu radīšanu MVU, tostarp ar produktīvām investīcijām" 1.2.3.4. pasākuma “Garantijas, portfeļgarantijas pilna cikla uzņēmējdarbībai (turpmāk – 1.2.3.4. pasākums)” portfeļgarantiju nosacījumus tiešo finanšu instrumentu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Noteikumos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terminu "Kredītiestādes zaudējumi". Saskaņā ar Komisijas 2014. gada 11. septembra īstenošanas regulas Nr. 964/2014, kurā izklāstīti noteikumi par Eiropas Parlamenta un Padomes Regulas (ES) Nr. 1303/2013 piemērošanu attiecībā uz standarta noteikumiem un nosacījumiem par finanšu instrumentiem, (turpmāk - Komisijas regula Nr.964/2014) III pielikumu zaudējumi, kurus sedz, ir pamatsummu parāds, maksājamie, nesamaksātie un standarta procenti (izņemot maksājuma kavējuma nodevas un citas izmaksas un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periodu, no kura brīža var uzskatīt, ka zaudējumi ir iestājušies, piemēram 90 dienas kopš saistību neizpildes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MKN Nr 573 4.3. punktam garantija šo noteikumu izpratnē ir sabiedrības "Altum" saistības šajos noteikumos noteiktajā apmērā segt kredītiestādes zaudējumus, kas radušies, ja saimnieciskās darbības veicējs nepilda saistības par kredītiestādes sniegto finanšu pakalpojumu. Ņemot vērā, ka saistību neizpildes nosacījumus nosaka atlasītās komercbankas, noteikumu līmenī nav nepieciešams definēt minēto periodu, ņemot vērā, ka līgumos ar komersantiem minētie nosacījumi starp dažādām kredītiestādēm var atšķirties.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Noteikumos lietotie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14 300 000 </w:t>
            </w:r>
            <w:r w:rsidR="00000000" w:rsidRPr="00000000" w:rsidDel="00000000">
              <w:rPr>
                <w:i w:val="1"/>
                <w:rtl w:val="0"/>
              </w:rPr>
              <w:t xml:space="preserve">euro</w:t>
            </w:r>
            <w:r w:rsidR="00000000" w:rsidRPr="00000000" w:rsidDel="00000000">
              <w:rPr>
                <w:rtl w:val="0"/>
              </w:rPr>
              <w:t xml:space="preserve"> apmērā, kā arī šī finansējuma atmaksas, kas noteikts atbilstoši Attīstības finanšu institūcijas likumam izstrādātajā programmas novērtējumā un ko veido: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9.punktā ietverto Finanšu ministrijas iebildumu un lūdzam veikt precizējumu attiecībā uz vārdiem "kā arī šī finansējuma atmaksas", nosakot konkrētu atbalsta summu, ko var izmantot šī atbalsta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14 300 000 </w:t>
            </w:r>
            <w:r w:rsidR="00000000" w:rsidRPr="00000000" w:rsidDel="00000000">
              <w:rPr>
                <w:i w:val="1"/>
                <w:rtl w:val="0"/>
              </w:rPr>
              <w:t xml:space="preserve">euro </w:t>
            </w:r>
            <w:r w:rsidR="00000000" w:rsidRPr="00000000" w:rsidDel="00000000">
              <w:rPr>
                <w:rtl w:val="0"/>
              </w:rPr>
              <w:t xml:space="preserve">apmērā, kā arī šī finansējuma atmaksas un atmaksu atmaksas līdz 14 300 000 </w:t>
            </w:r>
            <w:r w:rsidR="00000000" w:rsidRPr="00000000" w:rsidDel="00000000">
              <w:rPr>
                <w:i w:val="1"/>
                <w:rtl w:val="0"/>
              </w:rPr>
              <w:t xml:space="preserve">euro</w:t>
            </w:r>
            <w:r w:rsidR="00000000" w:rsidRPr="00000000" w:rsidDel="00000000">
              <w:rPr>
                <w:rtl w:val="0"/>
              </w:rPr>
              <w:t xml:space="preserve">, kā arī šo noteikumu 12.punktā minētos maksājumus: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11 300 000 </w:t>
            </w:r>
            <w:r w:rsidR="00000000" w:rsidRPr="00000000" w:rsidDel="00000000">
              <w:rPr>
                <w:i w:val="1"/>
                <w:rtl w:val="0"/>
              </w:rPr>
              <w:t xml:space="preserve">euro</w:t>
            </w:r>
            <w:r w:rsidR="00000000" w:rsidRPr="00000000" w:rsidDel="00000000">
              <w:rPr>
                <w:rtl w:val="0"/>
              </w:rPr>
              <w:t xml:space="preserve"> apmērā, kā arī šī finansējuma atmaksas, kas noteikts atbilstoši Attīstības finanšu institūcijas likumam izstrādātajā programmas novērtējumā un ko veido: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finansējuma atmaksu apmēru un atbilstoši papildināt noteikumu projekta 5.punktu ar papildus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5.panta ievaddaļa, kā arī noteikumu projekta 5.1.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14 300 000 euro apmērā, kā arī šī finansējuma atmaksas, kas noteikts atbilstoši Attīstības finanšu institūcijas likumam izstrādātajā programmas novērtējumā un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10 000 000 euro darbības programmas "Uzņēmējdarbība un inovācijas" 2.2.1.4.1. apakšaktivitātes "Atbalsts aizdevumu veidā komersantu konkurētspējas uzlabošanai" ietvaros atmaksātais publiskais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14 300 000 </w:t>
            </w:r>
            <w:r w:rsidR="00000000" w:rsidRPr="00000000" w:rsidDel="00000000">
              <w:rPr>
                <w:i w:val="1"/>
                <w:rtl w:val="0"/>
              </w:rPr>
              <w:t xml:space="preserve">euro </w:t>
            </w:r>
            <w:r w:rsidR="00000000" w:rsidRPr="00000000" w:rsidDel="00000000">
              <w:rPr>
                <w:rtl w:val="0"/>
              </w:rPr>
              <w:t xml:space="preserve">apmērā, kā arī šī finansējuma atmaksas un atmaksu atmaksas līdz 14 300 000 </w:t>
            </w:r>
            <w:r w:rsidR="00000000" w:rsidRPr="00000000" w:rsidDel="00000000">
              <w:rPr>
                <w:i w:val="1"/>
                <w:rtl w:val="0"/>
              </w:rPr>
              <w:t xml:space="preserve">euro</w:t>
            </w:r>
            <w:r w:rsidR="00000000" w:rsidRPr="00000000" w:rsidDel="00000000">
              <w:rPr>
                <w:rtl w:val="0"/>
              </w:rPr>
              <w:t xml:space="preserve">, kā arī šo noteikumu 12.punktā minētos maksājumus: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"Altum" pārvaldības izmaksas nosaka saskaņā ar sabiedrības "Altum" vadības izmaksu aprēķināšanas metodiku un sedz ar vadības maksu, ko nosaka, ievērojot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12. un 13. panta 3. punktā noteikto kopējās robežvērtības apmēru. Šajā punktā minētās pārvaldības izmaksas var tikt attiecinātas pirms šo noteikumu stāšanās spēkā, bet ne agrāk kā no 2017.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"Altum" vadības izmaksu aprēķināšanas metodika paredz arī ES fondu 2021.-2027.gada plānošanas perioda pasākumu vadības maksas attiecināšanu. Attiecīgi lūdzam izvērtēt vai MK noteikumu Nr.537 6.punkts ir attiecināms arī uz 1.2.3.4.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līdzšinēji portfeļgarantijas tika sniegtas bez ES fondu līdzfinansējuma, attiecīgi vēršam uzmanību, ka Komisijas regulas Nr.480/2014 normu piemērošana ir bijis nesamērīgi augsts administratīvs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vadības izmaksas ES fondu 2021.-2027.gada plānošanas ietvaros tiks noteiktas līdzdalības fonda MKN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projekts papildināts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vertAlign w:val="superscript"/>
                <w:rtl w:val="0"/>
              </w:rPr>
              <w:t xml:space="preserve">1</w:t>
            </w:r>
            <w:r w:rsidR="00000000" w:rsidRPr="00000000" w:rsidDel="00000000">
              <w:rPr>
                <w:rtl w:val="0"/>
              </w:rPr>
              <w:t xml:space="preserve"> 1.2.3.4. pasākuma ietvaros Sabiedrības "Altum" pārvaldības izmaksas nosaka atbilstoši Ministru kabineta noteikumiem par Eiropas Savienības kohēzijas politikas programmas 2021.-2027. gadam finanšu instrumentu kopīgie īstenošanas noteikumi 31.2.apakšpunktam.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"Altum" pārvaldības izmaksas nosaka saskaņā ar sabiedrības "Altum" vadības izmaksu aprēķināšanas metodiku un sedz ar vadības maksu, ko nosaka, ievērojot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12. un 13. panta 3. punktā noteikto kopējās robežvērtības apmēru. Šajā punktā minētās pārvaldības izmaksas var tikt attiecinātas pirms šo noteikumu stāšanās spēkā, bet ne agrāk kā no 2017. gada 1. 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saimnieciskās darbības veicējs atbilst Komisijas 2014. gada 17. jūnija Regulas (ES) Nr. 651/2014, ar ko noteiktas atbalsta kategorijas atzīst par saderīgām ar iekšējo tirgu, piemērojot Līguma 107. un 108. pantu (turpmāk – Komisijas regula Nr. 651/2014), 1. pielikumā noteiktajām mikrouzņēmumu, mazo un vidējo uzņēmumu definīcijām;</w:t>
            </w:r>
            <w:r w:rsidR="00000000" w:rsidRPr="00000000" w:rsidDel="00000000">
              <w:rPr>
                <w:i w:val="1"/>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 gada 24. jūnija regulas Nr.2021/1058 par Eiropas Reģionālās attīstības fondu un Kohēzijas fondu 5.panta 2.punkta c apakšpunktu, </w:t>
            </w:r>
            <w:r w:rsidR="00000000" w:rsidRPr="00000000" w:rsidDel="00000000">
              <w:rPr>
                <w:rtl w:val="0"/>
              </w:rPr>
              <w:t xml:space="preserve">kā arī Eiropas Savienības kohēzijas politikas programma 2021.–2027.gadam 107.§ noteikto</w:t>
            </w:r>
            <w:r w:rsidR="00000000" w:rsidRPr="00000000" w:rsidDel="00000000">
              <w:rPr>
                <w:rtl w:val="0"/>
              </w:rPr>
              <w:t xml:space="preserve">, atbalstu var sniegt uzņēmumiem ,kas nav MVU, ja investīcijas tiek veiktas mazās vidējas kapitalizācijas sabiedrībās un vidējas kapitalizācijas sabiedrībās (ar darbinieku skaitu līdz 3 000), kā definēts Eiropas Parlamenta un Padomes Regulas (ES) 2015/1017 2. panta 6) un 7) punktā, izmantojot finanšu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spēkā esošie MK noteikumi Nr.537 ļauj sniegt atbalstu tikai MVU.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paplašināt atbalsta saņēmēju loku, </w:t>
            </w:r>
            <w:r w:rsidR="00000000" w:rsidRPr="00000000" w:rsidDel="00000000">
              <w:rPr>
                <w:rtl w:val="0"/>
              </w:rPr>
              <w:t xml:space="preserve">t.sk. pārskatot arī MK noteikumi Nr.537 1.punktā uzskaitīto pasākuma mērķa grupu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10.</w:t>
            </w:r>
            <w:r w:rsidR="00000000" w:rsidRPr="00000000" w:rsidDel="00000000">
              <w:rPr>
                <w:vertAlign w:val="superscript"/>
                <w:rtl w:val="0"/>
              </w:rPr>
              <w:t xml:space="preserve">1</w:t>
            </w:r>
            <w:r w:rsidR="00000000" w:rsidRPr="00000000" w:rsidDel="00000000">
              <w:rPr>
                <w:rtl w:val="0"/>
              </w:rPr>
              <w:t xml:space="preserve"> apakšpunkts, attiecīgi nosakot, ka, atbalstu var sniegt uzņēmumiem ,kas nav MVU, ja investīcijas tiek veiktas mazās vidējas kapitalizācijas sabiedrībās un vidējas kapitalizācijas sabiedrībās (ar darbinieku skaitu līdz 3 000),”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saimnieciskās darbības veicējs atbilst Komisijas 2014. gada 17. jūnija Regulas (ES) Nr. 651/2014, ar ko noteiktas atbalsta kategorijas atzīst par saderīgām ar iekšējo tirgu, piemērojot Līguma 107. un 108. pantu (turpmāk – Komisijas regula Nr. 651/2014), 1. pielikumā noteiktajām mikrouzņēmumu, mazo un vidējo uzņēmumu definīcijām vai mazas vidējās kapitalizācijas un vidējās kapitalizācijas sabiedrības,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 6. un 7. punktiem ir attiecināms tikai uz 1.2.3.4. pasākumu;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Garantijas likme finanšu pakalpojumam ir līdz 80 %.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noteikt komercdarbības atbalsta likmes diferencēšanu atbilstoši komersanta lielumam (mazais, vidējais, mazs vidējās kapitalizācijas vai vidējās kapitalizācijas komersants). Ja netiek paredzēta komercdarbības atbalsta likmes diferencēšana, tad lūdzam anotācijā ietvert skaidrojumu par šādu nosacījumu nepiemērošanu.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mērķis ir veicināt kreditēšanu, neatkarīgi no komersantu lieluma un samazinot administratīvos šķēršļus. Garantiju likmes samazināšana atkarībā no komersanta lieluma nav ekonomiski pamatota, jo neatkarīgi no uzņēmuma lieluma komersantiem ir dažādas nodrošinājuma iespējas, projektu specifika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Garantijas likme finanšu pakalpojumam ir līdz 80 %.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Portfeļgarantijas programmas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minimālu multiplikatora apmēru. Saskaņā ar Ex-ante izvērtējumu multiplikatoram jābūt vismaz 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programmas nosacījumiem, kā arī tās dizainam, programmas daudzkāršojošo iedarbību (multiplier) aprēķina pēc formulas  = (1/garantija likme)*(1/ierobežotā garantijas likme). Atbilstoši noteikumu projekta nosacījumiem šis rādītājs būs vismaz 7,14.  Ņemot vērā līdzšinējo pieredzi sabiedrības Altum īstenotajās garantiju programmās, minētais multiplikatora apmērs noteikts nolīguma ar Sadarbības iestādi pielikumos – attiecīgo programmu biznesa plānos. Skaidrojam, ka minētie nosacījumi nav MK noteikumu tvēruma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Portfeļgarantijas programmas ieviešana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Portfeļgarantijas programmas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cik ilgā laika posmā sabiedrībai "Altum" ir jāsedz kredītiestādes zaudējumus. Saskaņā ar Komisijas regulas Nr. 964/2014 III pielikumu šie zaudējumi jāsedz 60 dienu laikā pēc pieteikuma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portfeļgarantiju programmas ieviešanas pieredzi, minētie nosacījumi ir ietverti sadarbības līgumos ar kredītiestādēm un nav MK noteikumu tvēruma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Portfeļgarantijas programmas ieviešana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Pirms līguma noslēgšanas ar kredītiestādi sabiedrība "Altum" atbilstoši Komisijas regulas Nr. 480/2014  7. panta 2. punktam iesniedz saskaņošanai Ekonomikas ministrijā un Finanšu ministrijā sabiedrības "Altum" izstrādātu metodoloģiju par visu finansiālo priekšrocību nodošanu saimnieciskās darbības veicējiem. Metodoloģiju pamato ar cenu noteikšanas un nodrošinājuma politiku kredītiestādēs.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metodoloģijai par visu finansiālo priekšrocību nodošanu saimnieciskās darbības veicējiem ir jābūt izstrādātai un saskaņotai ar EM un FM. Taču lūdzam precizēt šo punktu, jo Komisijas regulas Nr. 480/2014 nav attiecināma uz 2021.-2027.gada plānošanas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 metodika jau ir izstrādāta un saskaņota ar EM un FM, kā arī ņemot vērā, ka noteikumi tagad paredz arī ERAF atbalstu, aicinām minēto metodiku saskaņot arī ar ES fondu vadošo iestādi un Centrālo finanšu un līgumu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18.punkts,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Pirms līguma noslēgšanas ar kredītiestādi sabiedrība "Altum" iesniedz saskaņošanai Ekonomikas ministrijā un Finanšu ministrijā un attiecībā uz 1.2.3.4. pasākumu Centrālajā Finanšu un līgumu aģentūrā sabiedrības "Altum" izstrādātu metodoloģiju par visu finansiālo priekšrocību nodošanu saimnieciskās darbības veicējiem. Metodoloģiju pamato ar cenu noteikšanas un nodrošinājuma politiku kredītiestādēs.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Pirms līguma noslēgšanas ar kredītiestādi sabiedrība "Altum" iesniedz saskaņošanai Ekonomikas ministrijā un Finanšu ministrijā attiecībā uz 1.2.3.4. pasākumu Centrālajā Finanšu un līgumu aģentūrā sabiedrības "Altum" izstrādātu metodoloģiju par visu finansiālo priekšrocību nodošanu saimnieciskās darbības veicējiem. Metodoloģiju pamato ar cenu noteikšanas un nodrošinājuma politiku kredītiestādēs.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Izsekojamības un noteiktības nolūkā lūdzam anotācijā iekļaut informāciju gan par ALTUM lēmuma apstrīdēšanas kārtību, gan par komercbanku lēmuma apstrīdēšanas kārtību, tādējādi informējot adresātus par tālākām minēto lēmumu apstrīdēšanas tiesībām. Uzskatām, ka vispārējā civiltiesiskā kārtībā apstrīdami lēmumi nav pašsaprotamas cita normatīvā akta regulētas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esam papildinājuši ar tekstu, ka Klienta un Altum savstarpējās tiesiskās attiecības, tajā skaitā attiecībā uz Altum pieņemtajiem lēmumiem, tiek risinātas vispārējā civiltiesiskā kārtībā, atbilstoši Altum izstrādātajai kārtībai, ievērojot piemērojamos normatīvos aktus.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minēto atsauci uz MK noteikumu Nr. 537 5.3. apakšpunktu atbilstoši noteikumu projekta 4. punktā iekļautajam MK noteikumu Nr. 537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anotācijas apraksta norādot korektu atsauci uz MK noteikumu Nr. 537 5.</w:t>
            </w:r>
            <w:r w:rsidR="00000000" w:rsidRPr="00000000" w:rsidDel="00000000">
              <w:rPr>
                <w:vertAlign w:val="superscript"/>
                <w:rtl w:val="0"/>
              </w:rPr>
              <w:t xml:space="preserve">2</w:t>
            </w:r>
            <w:r w:rsidR="00000000" w:rsidRPr="00000000" w:rsidDel="00000000">
              <w:rPr>
                <w:rtl w:val="0"/>
              </w:rPr>
              <w:t xml:space="preserve">.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8.ailē “izmaiņas, salīdzinot ar vidēja termiņa budžeta ietvaru” precizēt finansējuma sadalījumu pa avotiem, jo šobrīd norādītā ERAF (1. un 1.1.punkts) un valsts budžeta (3., 3.1. un 5., 5.1.punkts) finansējuma proporcija veido 70% un 30%. Vienlaikus precizēto finansiālo ietekmi 5.1.punktā lūdzam norādīt ar “-”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anotācijas 3.sadaļā atbilstoši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ir norādīts, ka provizoriskais ES fondu 21-27 finansējuma izlietojums 2026.gadā ir 1 644 913 euro, attiecīgi lūdzam precizēt sadaļas 8.ailē atspoguļotās izmaiņas 2026.gadā, salīdzinot ar vidēja termiņa budžeta ietvaru, jo šobrīd tās ir norādītās 3 289 826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programmas rādītāju novērtējuma projekta 3.2.1. un 3.2.2. punktu ar atsauci uz pilnu ES kapitāla pietiekamības direktīvas (un regulas)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 zemsvītras atsauce programmas rādītāju novērtējumā.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programmas rādītāju novērtējuma projekta 2. punktā iekļautās informācijas attiecībā uz programmas ietekmi sasaisti ar noteikumu projektā “Eiropas Savienības kohēzijas politikas programmas 2021. – 2027. gadam finanšu instrumentu kopīgie īstenošanas noteikumi” 1.2.3.4. pasākumam “Garantijas, portfeļgarantijas pilna cikla uzņēmējdarbībai” noteiktajiem sasniedzamajiem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sasniedzamie rezultatīvie rādītāji atbilstoši Eiropas Savienības kohēzijas politikas programmas 2021. – 2027. gadam finanšu instrumentu kopīgie īstenošanas noteikumi” 1.2.3.4. pasākumam “Garantijas, portfeļgarantijas pilna cikla uzņēmējdarbībai” ir noteikti līdzdalības fondu regulējošajos horizontālajos noteikumos. Attiecīgi precizēta programmas rādītāju novērtējumā iekļautā informācija (5.zemsvītras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precizēt programmas rādītāju novērtējuma projekta 2. punktā norādīto garantiju apjomu, proti, gan skaitliski (78 000 tūkst. EUR?), gan norādot, vai summa attiecas uz kopējo izsniegto garantiju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apjoms norāda kopējo portfeļgarantiju 4.kārtas ietvaros izsniedzamo garantēto aizdevumu apmēru, kas iekļauts kredītiestāžu izsniegto aizdevumu portfelī. Vienlaikus programmas rādītāju novērtējumā precizēts, ka minētais apjoms attiecas uz 1.2.3.4. pasākuma ietvaros izsniedzamo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programmas rādītāju novērtējuma projekta 2. punktā norādītās programmas ietekmes sasaisti ar 1. punktu, lai nodrošinātu informācijas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apjoms norāda kopējo portfeļgarantiju 4.kārtas ietvaros izsniedzamo garantēto aizdevumu apmēru, kas iekļauts kredītiestāžu izsniegto aizdevumu portfelī. Kā jau norādīts programmas rādītāju novērtējuma 2.zemsvītras atsaucē attiecībā uz portfeļgarantiju 1., 2. un 3.kārtu nav izmaiņas risku un sagaidāmo zaudējumu aprēķinos, salīdzinot ar 2022.gada martā MK iesniegto programmas rādītāju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un rast sasaisti programmas rādītāju novērtējuma projekta 1. punktā norādītajam programmas finansējumam un tā avotiem, tai skaita atmaksām, ar MK noteikumos Nr. 537 un noteikumu projektā “Eiropas Savienības kohēzijas politikas programmas 2021. – 2027. gadam finanšu instrumentu kopīgie īstenošanas noteikumi” 1.2.3.4. pasākumam “Garantijas, portfeļgarantijas pilna cikla uzņēmējdarbībai” paredzēto finansējumu, lai nodrošinātu informācijas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programmas rādītāju novērtējums sagatavots par MKN projekta 52 punktā un 5.1. punktā minēto atmaksu  finansējuma daļu (3 milj. EUR), kas norādīts arī programmas rādītāju novērtējuma 1.punkta tabulas 1.ailē. Norādām, ka 1.2.3.4 pasākumam pieejamais finansējums norādīts līdzdalības fondu regulējošajos horizontālajos noteikumos, kā arī noteikumu projekta anotācijā. Proti, pasākumam pieejamais ERAF finansējums sastāda 9 869 476 EUR 2021.-2027.gada ES fondu perioda finansējums, t.sk valsts budžets 1 480 421 EUR un ERAF finansējums 8 389 055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noteikumus un anotāciju ar informāciju par iekšējās kontroles sistēmas pamatprasībām korupcijas, interešu konflikta un dubultā finansējuma riska novēršanai gan attiecībā uz akciju sabiedrību "Attīstības finanšu institūcija Altum", gan attiecībā uz kredītiestādēm, pēc līdzības kā ir noteikts programmas "Iespējkapitāla ieguldījumi" īstenošanas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Garantiju izsniegšanai sabiedrība “Altum” izmanto Eiropas Savienības fondu 2021. – 2027. gada plānošanas perioda 1.2.3.4. pasākumam pieejamo finansējumu, kas atbilstoši normatīvajam aktam ir noteikts Eiropas Savienības kohēzijas politikas programmas 2021.-2027.gadam finanšu instrumentu īstenošanas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4. punktā izteiktajā MK noteikumu Nr. 537 5.</w:t>
            </w:r>
            <w:r w:rsidR="00000000" w:rsidRPr="00000000" w:rsidDel="00000000">
              <w:rPr>
                <w:vertAlign w:val="superscript"/>
                <w:rtl w:val="0"/>
              </w:rPr>
              <w:t xml:space="preserve">2 </w:t>
            </w:r>
            <w:r w:rsidR="00000000" w:rsidRPr="00000000" w:rsidDel="00000000">
              <w:rPr>
                <w:rtl w:val="0"/>
              </w:rPr>
              <w:t xml:space="preserve">punktā ietverto vārdu "atbilstoši normatīvajam aktam" nepieciešamību un pēc nepieciešamības tos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5.</w:t>
            </w:r>
            <w:r w:rsidR="00000000" w:rsidRPr="00000000" w:rsidDel="00000000">
              <w:rPr>
                <w:vertAlign w:val="superscript"/>
                <w:rtl w:val="0"/>
              </w:rPr>
              <w:t xml:space="preserve">2</w:t>
            </w:r>
            <w:r w:rsidR="00000000" w:rsidRPr="00000000" w:rsidDel="00000000">
              <w:rPr>
                <w:rtl w:val="0"/>
              </w:rPr>
              <w:t xml:space="preserve">. apkšpunktā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Garantiju izsniegšanai sabiedrība “Altum” izmanto Eiropas Savienības fondu 2021. – 2027. gada plānošanas perioda 1.2.3.4. pasākumam pieejamo finansējumu, kas noteikts Eiropas Savienības kohēzijas politikas programmas 2021.-2027.gadam finanšu instrumentu īstenošanas noteikumos.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"Altum" pārvaldības izmaksas nosaka saskaņā ar sabiedrības "Altum" vadības izmaksu aprēķināšanas metodiku un sedz ar vadības maksu, ko nosaka, ievērojot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12. un 13. panta 3. punktā noteikto kopējās robežvērtības apmēru. Šajā punktā minētās pārvaldības izmaksas var tikt attiecinātas pirms šo noteikumu stāšanās spēkā, bet ne agrāk kā no 2017.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10.punktā sniegto skaidrojumu, lūdzam noteikt, ka šo noteikumu 6.punkts nav attiecināms uz 1.2.3.4.pasākumu.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vadības izmaksas ES fondu 2021.-2027.gada plānošanas ietvaros jeb par 1.2.3.4.pasākumu ir noteiktas 6.prim punktā, attiecīgi 6.punkts runā pa iepriekšējo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"Altum" pārvaldības izmaksas nosaka saskaņā ar sabiedrības "Altum" vadības izmaksu aprēķināšanas metodiku un sedz ar vadības maksu, ko nosaka, ievērojot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12. un 13. panta 3. punktā noteikto kopējās robežvērtības apmēru. Šajā punktā minētās pārvaldības izmaksas var tikt attiecinātas pirms šo noteikumu stāšanās spēkā, bet ne agrāk kā no 2017. gada 1. 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aizdevumiem apgrozāmo līdzekļu finansēšanai, tai skaitā aizdevumiem kredītlīnijas vai kredītlimita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kredītlīnijas vai kredītlimita gadījumā tiks noteikta maksimālā atbalsta summa, kuru var saņemt gala labuma guvējs. Saskaņā ar Komisijas regulas Nr. 964/2014 III pielikumu Komisijas ieteiktajā portfeļgarantiju atbalsta pasākumā jābūt fiksētai maksimālai summai uz noteiktu laiku, kā arī noteikts, ka portfelī iekļaujamie aizdevumi nav atjaunojamas kredītlīnijas. Lūdzam sniegt skaidrojumu kā tiks uzskaitīts </w:t>
            </w:r>
            <w:r w:rsidR="00000000" w:rsidRPr="00000000" w:rsidDel="00000000">
              <w:rPr>
                <w:i w:val="1"/>
                <w:rtl w:val="0"/>
              </w:rPr>
              <w:t xml:space="preserve">de minimis</w:t>
            </w:r>
            <w:r w:rsidR="00000000" w:rsidRPr="00000000" w:rsidDel="00000000">
              <w:rPr>
                <w:rtl w:val="0"/>
              </w:rPr>
              <w:t xml:space="preserve"> atbalsts kredītlīnijas vai kredītlimita gadījumā. Vai katrs nākamais aizdevums, kas tiks izsniegts kredītlīnijas vai kredītlimita ietvaros, tiks uzskatīts par atsevišķu atbalstu un sasniedzot </w:t>
            </w:r>
            <w:r w:rsidR="00000000" w:rsidRPr="00000000" w:rsidDel="00000000">
              <w:rPr>
                <w:i w:val="1"/>
                <w:rtl w:val="0"/>
              </w:rPr>
              <w:t xml:space="preserve">de minimis</w:t>
            </w:r>
            <w:r w:rsidR="00000000" w:rsidRPr="00000000" w:rsidDel="00000000">
              <w:rPr>
                <w:rtl w:val="0"/>
              </w:rPr>
              <w:t xml:space="preserve"> robežvērtību, atbalsts tiks pārtraukts.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valsts atbalsta nosacījumiem katrs nākamais aizdevums, kas tiek izsniegts kredītlīnijas vai kredītlimita ietvaros, tiek uzskatīts par jaunu atbalstu un sasniedzot </w:t>
            </w:r>
            <w:r w:rsidR="00000000" w:rsidRPr="00000000" w:rsidDel="00000000">
              <w:rPr>
                <w:i w:val="1"/>
                <w:rtl w:val="0"/>
              </w:rPr>
              <w:t xml:space="preserve">de minimis</w:t>
            </w:r>
            <w:r w:rsidR="00000000" w:rsidRPr="00000000" w:rsidDel="00000000">
              <w:rPr>
                <w:rtl w:val="0"/>
              </w:rPr>
              <w:t xml:space="preserve"> robežvērtību, atbalsts tiek pārtraukts.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aizdevumiem apgrozāmo līdzekļu finansēšanai, tai skaitā aizdevumiem kredītlīnijas vai kredītlimita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ja saimnieciskās darbības veicējam ar tiesas spriedumu ir pasludināts maksātnespējas process, tiek īstenots tiesiskās aizsardzības process, ar tiesas lēmumu tiek īstenots ārpustiesas tiesiskās aizsardzības process, uzsākta bankrota procedūra, piemērota sanācija vai mierizlīgums, tā saimnieciskā darbība ir izbeigta vai tas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projekta 10.1. apakšpunktu tiek paplašināts atbalsta saņēmēju loks, paredzot, ka atbalstu var saņemt ne tikai sīkie (mikro), mazie un vidējie saimnieciskās darbības veicēji (turpmāk - MVU), bet arī mazas vidējās kapitalizācijas un vidējās kapitalizācijas sabiedrības, kas nav MVU, lūdzam papildināt noteikumu projektu ar nosacījumu, kas izriet no Komisijas regulas Nr. 1407/2013 4.panta 6. a) apakšpunkta un ir attiecināms uz lielajiem uzņēmumiem, proti, paredzēt, ka lielo uzņēmumu gadījumā, saņēmējam jābūt situācijā, kas pielīdzināma vismaz B- kredītreitingam. Papildus, līdzīgi kā citos gadījumos, kad MK noteikumos, piemēram, 23-TA-1073 "Noteikumi par garantijām saimnieciskās darbības veicējiem konkurētspējas uzlabošanai", ir ietverts šāds nosacījums, lūdzam nodrošināt, ka atbalsta sniedzējam un atbalsta saņēmējam ir skaidrība par to, kā noteikt B- kredītreitingu.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ja saimnieciskās darbības veicējam ar tiesas spriedumu ir pasludināts maksātnespējas process, tiek īstenots tiesiskās aizsardzības process, ar tiesas lēmumu tiek īstenots ārpustiesas tiesiskās aizsardzības process, uzsākta bankrota procedūra, piemērota sanācija vai mierizlīgums, tā saimnieciskā darbība ir izbeigta vai tas atbilst normatīvajos aktos noteiktajiem kritērijiem, uz kuriem pamatojoties kreditors var pieprasīt maksātnespējas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saimnieciskās darbības veicējiem, kuri darbojas Komisijas regulas Nr. 1407/2013 1. panta 1. punkta "a", "b" un "c" apakšpunktā minētajās nozarēs;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Nr.1407/2013 1.panta 1.punkta a), b) un c) apakšpunktos ir uzskaitītas nozares, savukārt d) un e) apakšpunktos ir uzskaitītas darbības, kurām atbalsts netiek piešķirts attiecīgās regulas ietvaros, lūdzam atbilstoši precizēt MK noteikumu projekta 13.3. apakšpunktu, piemēram, šādā redakcijā: “saimnieciskās darbības veicējiem, kuri darbojas Komisijas regulas Nr. 1407/2013 1. panta 1. punkta "a", "b", "c" apakšpunktā minētajās nozarēs, vai arī veic darbības, kas noteiktas Komisijas regulas Nr. 1407/2013 1. panta 1. punkta "d" un "e" apakšpunktos.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13.3.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saimnieciskās darbības veicējiem, kuri darbojas Komisijas regulas Nr. 1407/2013 1. panta 1. punkta "a", "b", "c" apakšpunktā minētajās nozarēs, vai arī veic darbības, kas noteiktas Komisijas regulas Nr. 1407/2013 1. panta 1. punkta "d" un "e" apakšpunktos;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saimnieciskās darbības veicējiem, kuri darbojas Komisijas regulas Nr. 1407/2013 1. panta 1. punkta "a", "b", "c", "d" un "e" apakšpunktā minētajās nozarēs;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Nr.1407/2013 1.panta 1.punkta d) un e) apakšpunktos ir uzskaitītas darbības nevis nozares, kurām atbalsts netiek piešķirts attiecīgās regulas ietvaros, aicinām veikt tehnisku precizējumu MK noteikumu projekta 13.3.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saimnieciskās darbības veicējiem, kuri darbojas Komisijas regulas Nr. 1407/2013 1. panta 1. punkta "a", "b", "c" apakšpunktā minētajās nozarēs, vai arī veic darbības, kas noteiktas Komisijas regulas Nr. 1407/2013 1. panta 1. punkta "d" un "e" apakšpunktos;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 esošu vai jaunu saistību dzēšanai, t.sk. parāda procentiem saskaņā ar Regulas Nr. 2021/1060 64. panta 1. punkta a)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nebūtu jāsniedz atbalsts jaunu saistību dzēšanai.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Regulas Nr. 2021/1060 64. pantu ir noteiktas neattiecināmās izmaksas, tai skaitā, parāda procenti, izņemot attiecībā uz dotācijām, kas piešķirtas kā procentu likmes subsīdijas vai garantijas maksas subsīdijas. Līdz ar to esošu vai jaunu saistību dzēšana tiek izbeigta, tas neatbrīvo parādnieku no saistībām un šis nav attiecināmas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 esošu vai jaunu saistību dzēšanai, t.sk. parāda procentiem saskaņā ar Regulas Nr. 2021/1060 64. panta 1. punkta a)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Portfeļgarantijas programmas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ES fondu attiecināmības termiņš, kas ir no 2021.gada 1.janvara līdz 2029.gada 31.decembrim, ietekmē šos noteikumus, proti, vai nebūtu jānosaka atbalsta sākuma un beigu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programmas finansējumu veido ne vien ES fondu finansējums, bet arī atmaksātais publiskais finansējums, nav nepieciešams noteikt programmas darbības termiņu. Vēršam uzmanību, ka attiecībā uz ERAF finansējumu tiks ievērots ES fondu attiecināmības termiņa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Portfeļgarantijas programmas ieviešana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Sabiedrība "Altum" informē kredītiestādes par atlasi, sniedz informāciju par atlases nosacījumiem un nosaka pieteikumu iesniegšanas termiņu vismaz 20 darbdienas no informācijas publicēšanas dienas sabiedrības "Altum"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sabiedrības “Altum” atlasē var piedalīties tikai uzaicinātās kredītiestādes. Vienlaikus lūdzam skaidrot kā tiks ievērots šo noteikumu 17.punktā noteiktais par atklātu, pārredzamu, nediskriminējošu un objektīvu atlases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sniegt skaidrojumu, vai tiks veikta jauna atlase, jo no noteikumu projekta tas nav nolasāms.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atlasē var piedalīties jebkura Latvijā reģistrēta kredītiestāde un minētā informācija par atlasēm tiek publicēta sabiedrības Altum tīmekļa vietnē, kā arī par to tiek informēta Finanšu nozares asociācija. Sabiedrība Altum kredītiestāžu atlases MK noteikumos Nr 537. noteiktā pieejamā finansējuma ietvaros rīko reizi 2 gados. Ņemot vērā, ka portfeļgarantiju programmas 3.kārta noslēgsies 2024.gada nogalē, tiks īstenota jauna portfeļgarantiju atlases kārta, ievērojot atklātu, pārredzamu, nediskriminējošu un objektīvu atlases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Sabiedrība "Altum" informē kredītiestādes par atlasi, sniedz informāciju par atlases nosacījumiem un nosaka pieteikumu iesniegšanas termiņu vismaz 20 darbdienas no informācijas publicēšanas dienas sabiedrības "Altum"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kredītiestādēm, kas kvalificējušās atlasē. Kredītiestādei ar augstāko vērtējumu piešķir ne vairāk kā 50 % no pieejamā finansējuma. Atlikušo pieejamo finansējumu sadala starp pārējām atlasītajām kredītiestādēm proporcionāli iesniegtajos pieteikumos norādītajam finansējumam.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arī plānotajai atlasei tiks piemērots nosacījums, ka kredītiestādei ar augstāko vērtējumu piešķir ne vairāk kā 50 % no pieejamā finansējuma. Lūdzam izvērtēt iespēju noteikt pieejamo finansējumu procentuāli pret komercbanku klientu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portfeļgarantiju programmas īstenošanā, atlases kārtās pieejamais finansējums tiek sadalīts atbilstoši komercbanku iegūtajam vērtējumam atlases procesā, vērtējot iesniegtos pieteikumus. Norādām, ka šāda pieeja vērtēt klientu skaitu nenodrošina objektīvi labāko piedāvājumu izvērtēšanu, ņemot vērā, ka atlases procesā tiek vērtēti daudzveidīgi kritēriji. Komercbanku klientu skaits nav saistīts ar komercbanku vēlmi izmantot portfeļgarantijas – ir bankas, kas vairāk izmanto portfeļgarantijas.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kredītiestādēm, kas kvalificējušās atlasē. Kredītiestādei ar augstāko vērtējumu piešķir ne vairāk kā 50 % no pieejamā finansējuma. Atlikušo pieejamo finansējumu sadala starp pārējām atlasītajām kredītiestādēm proporcionāli iesniegtajos pieteikumos norādītajam finansējumam.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pārkāptas Komisijas regulas Nr. </w:t>
            </w:r>
            <w:r w:rsidR="00000000" w:rsidRPr="00000000" w:rsidDel="00000000">
              <w:rPr>
                <w:rtl w:val="0"/>
              </w:rPr>
              <w:t xml:space="preserve">1407/2013</w:t>
            </w:r>
            <w:r w:rsidR="00000000" w:rsidRPr="00000000" w:rsidDel="00000000">
              <w:rPr>
                <w:rtl w:val="0"/>
              </w:rPr>
              <w:t xml:space="preserve"> prasības, atbalsta saņēmējam ir pienākums atmaksāt sabiedrībai "Altum" visu projekta ietvaros saņemto atbalstu no līdzekļiem, kas ir brīvi no valsts atbalsta,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32.</w:t>
            </w:r>
            <w:r w:rsidR="00000000" w:rsidRPr="00000000" w:rsidDel="00000000">
              <w:rPr>
                <w:vertAlign w:val="superscript"/>
                <w:rtl w:val="0"/>
              </w:rPr>
              <w:t xml:space="preserve">1</w:t>
            </w:r>
            <w:r w:rsidR="00000000" w:rsidRPr="00000000" w:rsidDel="00000000">
              <w:rPr>
                <w:rtl w:val="0"/>
              </w:rPr>
              <w:t xml:space="preserve"> punktu, ņemot vērā, ka nelikumīgā de minimis atbalsta gadījumā ir jāatgūst visu projekta ietvaros saņemto de minimis atbalstu, piemēram, šādā redakcijā: “Ja tiek pārkāptas šajos Noteikumos noteiktās komercdarbības atbalsta kontroles normas, tostarp nosacījumi, kas izriet no Komisijas regulas Nr.1407/2013,atbalsta saņēmējam ir pienākums atmaksāt sabiedrībai "Altum" visu projekta ietvaros saņemto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pārkāptas Komisijas regulas Nr. </w:t>
            </w:r>
            <w:r w:rsidR="00000000" w:rsidRPr="00000000" w:rsidDel="00000000">
              <w:rPr>
                <w:rtl w:val="0"/>
              </w:rPr>
              <w:t xml:space="preserve">1407/2013</w:t>
            </w:r>
            <w:r w:rsidR="00000000" w:rsidRPr="00000000" w:rsidDel="00000000">
              <w:rPr>
                <w:rtl w:val="0"/>
              </w:rPr>
              <w:t xml:space="preserve"> prasības, atbalsta saņēmējam ir pienākums atmaksāt sabiedrībai "Altum"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23-TA-337</w:t>
    </w:r>
    <w:r>
      <w:br/>
    </w:r>
    <w:r w:rsidR="00000000" w:rsidRPr="00000000" w:rsidDel="00000000">
      <w:rPr>
        <w:rtl w:val="0"/>
      </w:rPr>
      <w:t xml:space="preserve">17.08.2023. 14.39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23-TA-337</w:t>
    </w:r>
    <w:r>
      <w:br/>
    </w:r>
    <w:r w:rsidR="00000000" w:rsidRPr="00000000" w:rsidDel="00000000">
      <w:rPr>
        <w:rtl w:val="0"/>
      </w:rPr>
      <w:t xml:space="preserve">17.08.2023. 14.39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Izziņa_23-TA-337.docx</dc:title>
</cp:coreProperties>
</file>

<file path=docProps/custom.xml><?xml version="1.0" encoding="utf-8"?>
<Properties xmlns="http://schemas.openxmlformats.org/officeDocument/2006/custom-properties" xmlns:vt="http://schemas.openxmlformats.org/officeDocument/2006/docPropsVTypes"/>
</file>