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21-TA-601: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2020. gada 16. jūnija noteikumos Nr. 383 "Noteikumi par garantijām saimnieciskās darbības veicējiem konkurētspējas uzlabošanai"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- 16.11.2021.)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anotācijas 1.3. sadaļā "Risinājuma apraksts" sniegto skaidrojumu vēršam uzmanību uz turpmāk minēto: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ņemot vērā, ka ar Ministru kabineta 2020. gada 16. jūnija noteikumiem Nr. 383 "Noteikumi par garantijām saimnieciskās darbības veicējiem konkurētspējas uzlabošanai" netiek sniegts atbalsts riska finansējuma atbalsts garantiju veidā, lūdzam dzēst šajā sadaļā ietverto informāciju par šo atbalsta veidu, lai novērstu nekorektas interpretācijas risku;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vēršam uzmanību, ka nevaram piekrist šajā sadaļā ietvertajam skaidrojumam, ka "</w:t>
            </w:r>
            <w:r w:rsidR="00000000" w:rsidRPr="00000000" w:rsidDel="00000000">
              <w:rPr>
                <w:i w:val="1"/>
                <w:rtl w:val="0"/>
              </w:rPr>
              <w:t xml:space="preserve">Tādējādi, interpretējot iepriekš norādītās tiesību normas, var secināt ka drošās zonas prēmiju jaundibinātiem uzņēmumiem, kuriem nav kredītvēsture vai novērtējuma, kas pamatots ar bilanci, nosaka 3,8 % apmērā</w:t>
            </w:r>
            <w:r w:rsidR="00000000" w:rsidRPr="00000000" w:rsidDel="00000000">
              <w:rPr>
                <w:rtl w:val="0"/>
              </w:rPr>
              <w:t xml:space="preserve">." Skaidrojam, ka atbilstoši </w:t>
            </w:r>
            <w:r w:rsidR="00000000" w:rsidRPr="00000000" w:rsidDel="00000000">
              <w:rPr>
                <w:i w:val="1"/>
                <w:rtl w:val="0"/>
              </w:rPr>
              <w:t xml:space="preserve">Eiropas Komisijas paziņojuma par EK līguma 87. un 88. panta piemērošanu valsts atbalstam garantiju veidā</w:t>
            </w:r>
            <w:r w:rsidR="00000000" w:rsidRPr="00000000" w:rsidDel="00000000">
              <w:rPr>
                <w:rtl w:val="0"/>
              </w:rPr>
              <w:t xml:space="preserve"> (turpmāk – Komisijas paziņojums) 3.3. punktam MVU, kuriem nav kredītvēstures vai novērtējuma, kas pamatots ar bilanci, piemēram, īpašam nolūkam dibinātiem uzņēmumiem vai jaundibinātiem uzņēmumiem, drošās zonas prēmiju nosaka 3,8% apmērā, </w:t>
            </w:r>
            <w:r w:rsidR="00000000" w:rsidRPr="00000000" w:rsidDel="00000000">
              <w:rPr>
                <w:b w:val="1"/>
                <w:rtl w:val="0"/>
              </w:rPr>
              <w:t xml:space="preserve">bet tā nekādā gadījumā nevar būt zemāka par prēmiju, ko piemērotu mātes uzņēmumam vai uzņēmumiem</w:t>
            </w:r>
            <w:r w:rsidR="00000000" w:rsidRPr="00000000" w:rsidDel="00000000">
              <w:rPr>
                <w:rtl w:val="0"/>
              </w:rPr>
              <w:t xml:space="preserve">. Līdz ar to skaidrojam, ka var būt situācija, kad atbilstoši Komisijas paziņojuma 3.3.punktā ietvertajai drošās zonas prēmiju apmēra tabulai piemērojamā drošās zonas prēmija var būt arī lielāka par 3,8% (t.i., 6.3%). Līdz ar to, lai nodrošinātu korektu Komisijas paziņojuma 3.3.punktā noteiktā ievērošanu, lūdzam atbilstoši precizēt minēto anotācijas skaidrojumu.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Iebildums ņemts vērā un dzēsta teikuma daļa, kas attiecas uz riska finansējumu.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Atbilstoši Eiropas Komisijas paziņojuma par EK līguma 87. un 88. panta piemērošanu valsts atbalstam garantiju veidā  3.3.punktam, piemērojamā drošās zonas prēmija nevar būt mazāka, par 3,8%. Tādejādi ir noteikta minimālā drošās zonas prēmijas likme. Kā skaidrots Grozījumu anotācijā, tad jaundibinātam saimnieciskās darbības veicējam, kuri saskaras ar nepietiekamu finanšu plūsmu un kapitāla atdevi tieši pirmajos darbības gados, ar minimālo prēmijas likmi 3,8% apmērā nosaka labvēlīgākus nosacījumus, salīdzinot ar citiem saimnieciskās darbības veicējiem, kuru finanšu rezultāti nav pietiekami augstā līmenī. Tomēr arī Grozījumu mērķis ir noteikt, ka, ja pirmajos trīs gados finanšu rezultāti jaundibinātam saimnieciskās darbības veicējam ir pietiekami labi, tad piemērojamo drošās zonas prēmijas likmi var noteikt balsoties uz atbilstošo kredītvēsturi vai novērtējumu, kas pamatots ar komersanta vai saistīto personu bilanci, kas var būt zemāka nekā 3,8%.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Tiesību akta projekta atbilstība Latvijas Republikas starptautiskajām saistībām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- 16.11.2021.)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noteikumu projekta anotācijā minēto par Komisijas 2013. gada 18. decembra Regulas (ES) Nr. 1407/2013 par Līguma par Eiropas Savienības darbību 107. un 108. panta piemērošanu de minimis atbalstam 4. panta 6. punkta "c" apakšpunkta prasību izpildi, pārņemot Komisijas paziņojuma par EK līguma 87. un 88. panta piemērošanu valsts atbalstam garantiju veidā 3.3. punkta prasības, lūdzam: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pirmkārt, izvērtēt un attiecīgi aizpildīt noteikumu projekta anotācijas 5. sadaļu, ievērojot Ministru kabineta 2021. gada 7. septembra noteikumu Nr. 617 "Tiesību akta projekta sākotnējās ietekmes izvērtēšanas kārtība" 9.19. apakšpunktu ar informāciju par minētās regulas prasību ieviešanu;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otrkārt, atspoguļot noteikumu projekta anotācijas 5. sadaļā ailē "Cita informācija" informāciju par ar noteikumu projektu pārņemtajām minētā paziņojuma prasībām.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 Tiesību akta projekta atbilstība Latvijas Republikas starptautiskajām saistībām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(ex-ante) nosaukums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- 16.11.2021.)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pievienot anotācijas pielikumu, kurā aktualizēti dati par esošo programmas īstenošanas gaitu, kā arī izvērtēta turpmāka programmas ietekme, t.sk., vērtējot finansējuma palielināšanu programmā, riski un sagaidāmie zaudējumi, finansiālais rezultāts un programmas īstenošanas izmaksu noteikšanas principi, piemēram, atbilstība segtajam riskam, izsniegšanas un ilgtermiņa darbības izdevumi, kā arī iekļauta informācija par zaudējumu segšanu, kas pārsniedz pirmo zaudējumu noteikto robežu, no piesaistītiem finanšu resursiem, kā arī pamatojumu par vadības izmaksas izmaiņām finanšu instrumentu griezumā, lai ievērotu Attīstības finanšu institūcijas likuma 5.panta otrās daļas 1.punktā un 12.panta trešajā un ceturtajā daļā noteikto.</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noteikumu 7.4. punktā norādītais finansējums nav jauns papildus finansējums. Iepriekš bija Eiropas Savienības struktūrfondu un Kohēzijas fonda 2014.–2020. gada plānošanas perioda darbības programmas "Izaugsme un nodarbinātība" virssaistību finansējums – 18 000 000 euro, bet tagad tas pats finansējums ir pārdalīts kā 15 300 000 euro ERAF finansējums un 2 700 001 euro  valsts budžeta finansējums 13.1.1.1. pasākuma ietvaros. Iepriekš finansējums bija virssaistībās, bet tagad tas ir Altum saistības pret Centrālo finanšu un līgumu aģentūru, līdz ar to netiek mainīts finansējuma apjoms. Par  kopējo ERAF finansējumu jau 2020. gadā 9. decembrī ir apstiprināts programmas novērtējums. Ņemot vērā, ka noteikumu izmaiņas ir tehniskas, jauns programmas novērtējums Noteikumu 7.4. punktā norādītajam finansējumam netiks veikts.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(ex-ante) nosaukums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(ex-ante) nosaukums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- 16.11.2021.)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programmā ir paredzētas finansējuma izmaiņas, lūdzam anotācijā skaidrot, vai izmaiņas finansējumā nepārsniegs EK lēmumā SA.36904 24. un 121. punktā noteikto pamatkapitāla un rezerves kapitāla maksimālo summu. Vēršam uzmanību, ka EK lēmuma SA.36904 23.punkts nemaz neparedz citādu iespēju kā finansējumu iepludināt caur pamatkapitālu vai rezerves kapitālu. Ja gadījumā plānotais pamatkapitāla vai rezerves kapitāla palielinājums pārsniedz EK lēmumā SA.36904 noteikto summu, lūdzam skaidrot, ka programmu varēs uzsākt tikai pēc tam, kad būs saņemts EK lēmums par grozījumiem EK lēmumā SA.36904 par sabiedrības Altum darbību.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izmaiņas finansējumā ir tehniskas, jo arī iepriekš bija Eiropas Savienības struktūrfondu un Kohēzijas fonda 2014.–2020. gada plānošanas perioda darbības programmas "Izaugsme un nodarbinātība" virssaistību finansējums – 18 000 000 euro, bet tagad tas pats finansējums ir pārsaukts kā 15 300 000 euro ERAF finansējums un 2 700 001 euro  valsts budžeta finansējums 13.1.1.1. pasākuma ietvaros. Noteikumu projektā tiek tikai precizēts, ka virssaistību finansējums tiek aizstāts ar React-EU finansējumu, finansējuma gala rezultātam nemainoties. Tāpat kā iepriekš, kad tika paredzēts virssaistību finansējums, arī tagad šis finansējums ir saistībās pret Centrālo finanšu un līgumu aģentūru un tas netiks iepludināts Altum pamatkapitālā vai rezerves kapitālā un neskars EK lēmumā SA.36904 noteiktos maksimālos apjomus.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(ex-ante) nosaukums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- 16.11.2021.)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anotācijā sniegto skaidrojumu par Altum izsniegto aizdevumu pārfinansēšanu, kā rezultātā Altum esošie aizdevumi var tikt nodoti brīvajā finanšu tirgū. Savukārt pēc pārfinansēšanas var būt gadījumi, kad šiem aizdeumiem nepieciešams piesaistīt Altum garamtiju.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Uzskatām, ka minētās darbības rada dubultfinansējuma risku, līdz ar to lūdzam papildināt anotāciju ar papildus skaidrojumu, nosakot, ka par to finansējuma daļu, par kuru aizdevumi tiks pārfinansēti brīvajā tirgū, tiks samazināti Altum maksājumu pieprasījumos deklarētie izdevumi un samazināti atbilstošie iznākuma rādītāji.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dubulta finansējuma risks šajā gadījumā nerodas, jo Altum aizdevumi var tikt finansēti no dažādiem resursiem, ne tikai no ERAF resursiem, savukārt gadījumā, ja tiek refinansēts Altum aizdevums citā kredītiestādē un tiek piesaistīta Altum garantija, tad šāda garantija tiek finansēta no atmaksu finansējuma un saņēmējam tiek piešķirts jauns de minimis atbalsts. Šādi darījumi var parādīties Altum maksājumu pieprasījumu deklarētos izdevumos un iznākuma rādītājos tikai pirmreizēji.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finansējuma avota maiņa nenodrošina dubultfinansējuma riska novēršanu, tad joprojām lūdzam sniegt skaidrojumu, kā tiks novērsts dubultfinansējuma risks. Tāpat lūdzam izvērtēt iespēju precizēt izziņas 5.punktā sniegto skaidrojumu.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Izsniedzot garantiju, kad tiks refinansēts ALTUM aizdevums uz citu kredītiestādi, tiks vērtēts, vai var tikt piešķirts jauns valsts atbalsts, kā arī, vai tiek ievērotas visas piemērojamās komercdarbības atbalsta regulējuma normas.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tiks refinansēts Altum aizdevums citā kredītiestādē, kam tiks piesaistīta Altum garantija, tad tiks vērtēts, vai saņēmējam var tikt piešķirts jauns de minimis atbalsts. Ja būs bijis piešķirts Eiropas Reģionālās attīstības fonda atbalsts, tad tiks pārbaudītā piemērojamā atbalsta intensitāte, bet reģionāla atbalsta gadījumā pašu finansējums 25% apmērā.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(ex-ante) nosaukums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Uzturam spēkā Finanšu ministrijas 2021.gada 16.novembra iebildumu, izziņas 3.punkts, un lūdzam pievienot anotācijai pielikumu par programmas novērtējumu, jo nevaram piekrist, ka nemainās pieejamā finansējuma apjoms programmā, piemēram, projekta 7.2. apakšpunkts, kā arī papildus vēršam uzmanību uz to, ka tiek virzītas izmaiņas programmas īstenošanas mehānismā, piemēram, turpmāk saimnieciskās darbības veicējiem iespējams saņemt garantiju par Altum aizdevumu refinansēšanu kredītiestādē un atbalsts tiek piešķirts darbībām ar nekustamo īpašumu, ievērojot administratīvi teritoriālo dalījumu.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Programmas rādītāju novērtējums tiks sagatvots mēneša laikā pēc Noteikumu grozījumu apstiprināšanas. Papildināts protokollēmums.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(ex-ante) nosaukums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Uzturam iepriekš izteikto Finanšu ministrijas iebildumu attiecībā uz anotācijas 1.3.sadaļā (kā arī 5. sadaļā) sniegto </w:t>
            </w:r>
            <w:r w:rsidR="00000000" w:rsidRPr="00000000" w:rsidDel="00000000">
              <w:rPr>
                <w:i w:val="1"/>
                <w:rtl w:val="0"/>
              </w:rPr>
              <w:t xml:space="preserve">Komisijas paziņojuma par EK līguma 87. un 88. panta piemērošanu valsts atbalstam garantiju veidā</w:t>
            </w:r>
            <w:r w:rsidR="00000000" w:rsidRPr="00000000" w:rsidDel="00000000">
              <w:rPr>
                <w:rtl w:val="0"/>
              </w:rPr>
              <w:t xml:space="preserve"> (turpmāk - Komisijas paziņojums) 3.3.punkta interpretāciju par garantiju prēmijas likmes apmēra noteikšanu un piemērošanu jaundibinātiem uzņēmumiem (skat. anotācijā ietverto tekstu "</w:t>
            </w:r>
            <w:r w:rsidR="00000000" w:rsidRPr="00000000" w:rsidDel="00000000">
              <w:rPr>
                <w:i w:val="1"/>
                <w:rtl w:val="0"/>
              </w:rPr>
              <w:t xml:space="preserve">Tādējādi, interpretējot iepriekš norādītās tiesību normas, var secināt ka minimālo drošās zonas prēmiju jaundibinātiem uzņēmumiem, kuriem nav kredītvēsture vai novērtējuma, kas pamatots ar bilanci, nosaka 3,8 % apmērā</w:t>
            </w:r>
            <w:r w:rsidR="00000000" w:rsidRPr="00000000" w:rsidDel="00000000">
              <w:rPr>
                <w:rtl w:val="0"/>
              </w:rPr>
              <w:t xml:space="preserve">." un turpmākie saistītie teksti).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Atkārtoti vēršam uzmanību, ka atbilstoši Komisijas paziņojuma 3.3. punktam MVU, kuriem nav kredītvēstures vai novērtējuma, kas pamatots ar bilanci, piemēram, īpašam nolūkam dibinātiem uzņēmumiem vai jaundibinātiem uzņēmumiem, drošās zonas prēmiju nosaka 3,8% apmērā, bet </w:t>
            </w:r>
            <w:r w:rsidR="00000000" w:rsidRPr="00000000" w:rsidDel="00000000">
              <w:rPr>
                <w:u w:val="single"/>
                <w:rtl w:val="0"/>
              </w:rPr>
              <w:t xml:space="preserve">tā nekādā gadījumā nevar būt zemāka par prēmiju, ko piemērotu mātes uzņēmumam vai uzņēmumiem</w:t>
            </w:r>
            <w:r w:rsidR="00000000" w:rsidRPr="00000000" w:rsidDel="00000000">
              <w:rPr>
                <w:rtl w:val="0"/>
              </w:rPr>
              <w:t xml:space="preserve">. Līdz ar to gadījumā, ja jaundibinātā uzņēmuma mātes uzņēmumam ir piemērojams kredītreitings B-, tam piemērojamā drošās zonas prēmijas likme ir 6.3%; attiecīgi šajā gadījumā uz šo jaundibināto uzņēmumu </w:t>
            </w:r>
            <w:r w:rsidR="00000000" w:rsidRPr="00000000" w:rsidDel="00000000">
              <w:rPr>
                <w:u w:val="single"/>
                <w:rtl w:val="0"/>
              </w:rPr>
              <w:t xml:space="preserve">ir jāpiemēro to pašu garantijas prēmijas likmes apmēru, ko mātes uzņēmumam - 6,3%</w:t>
            </w:r>
            <w:r w:rsidR="00000000" w:rsidRPr="00000000" w:rsidDel="00000000">
              <w:rPr>
                <w:rtl w:val="0"/>
              </w:rPr>
              <w:t xml:space="preserve">, nevis EM piedāvātā 3,8% likme. Tādējādi garantijas prēmijas likme 3,8% nevar visos gadījumos tikt noteikta kā minimālā. Lūdzam precizēt visus attiecīgos tekstus anotācijā (gan 1., gan 5.sadaļā), lai nodrošinātu atbilstību Komisijas paziņojumam, kā arī MKN Nr.383 pielikumam.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ņemts vērā, MK noteikumu anotācija attiecīgi precizēta.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anotācijas 1.3.sadaļā ietverto tekstu </w:t>
            </w:r>
            <w:r w:rsidR="00000000" w:rsidRPr="00000000" w:rsidDel="00000000">
              <w:rPr>
                <w:i w:val="1"/>
                <w:rtl w:val="0"/>
              </w:rPr>
              <w:t xml:space="preserve">"lai varētu turpināt sniegt garantijas tiem projektiem, kas neatbilst ES fondu nosacījumiem, piemēram, kumulācijas projektiem</w:t>
            </w:r>
            <w:r w:rsidR="00000000" w:rsidRPr="00000000" w:rsidDel="00000000">
              <w:rPr>
                <w:rtl w:val="0"/>
              </w:rPr>
              <w:t xml:space="preserve">", lūdzam to precizēt, jo konceptuāli nav skaidrs, kas ar to ir domāts un uz kādiem projektiem tas ir attiecināms. Tāpat nav skaidrs, kas ir domāts ar jēdzienu "kumulācijas projekti" un kāpēc tie ir tikai tādi, kas neatbilst ES fondu nosacījumiem. Papildus vēršam uzmanību, ka šo informāciju nekādā veidā nevar izlasīt no MKN Nr.383 vai noteikumu projekta.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7.2. punktā noteiktais finansējums ir iepriekšējo ES fondu atmaksātais publiskais finansējums, ar kuru var izsniegt garantijas, kuras nevar finansēt ar ERAF finansējumu (noteikts MK noteikumu 17.punktā). MK noteikumu 7.2.punkta ietvaros var tikt atbalstīti tādi projekti, kuri neatbilst MK noteikumu 17. punktā norādītajām darbībām.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Attiecībā uz anotācijas 1.3.sadaļā ietverto skaidrojumu, ka "</w:t>
            </w:r>
            <w:r w:rsidR="00000000" w:rsidRPr="00000000" w:rsidDel="00000000">
              <w:rPr>
                <w:i w:val="1"/>
                <w:rtl w:val="0"/>
              </w:rPr>
              <w:t xml:space="preserve">Noteikumu projektā tiek paredzēts, ka garantijas var tikt piešķirtas nevis tikai jauniem finanšu pakalpojumiem, bet arī esošām saistībām, kad tiek refinansēts Altum aizdevums citā kredītiestādē un tam tiek piesaistīta Altum garantija, ievērojot piemērojamā valsts atbalsta nosacījumus. Piemēram, ja Altum aizdevums ir sniegts kā reģionālais atbalsts, tiek vērtēts vai ar papildus garantijas piešķiršanu netiktu pārsniegta maksimālā atbalsta intensitāte, savukārt, ja aizdevums piešķirts kā de minimis atbalsts, vai iespējams piešķirt papildus de minimis atbalstu</w:t>
            </w:r>
            <w:r w:rsidR="00000000" w:rsidRPr="00000000" w:rsidDel="00000000">
              <w:rPr>
                <w:rtl w:val="0"/>
              </w:rPr>
              <w:t xml:space="preserve">", lūdzam to papildināt, norādot, ka gadījumā, ja sabiedrības "Altum" aizdevums bija izsniegts kā reģionālais atbalsts, tad līdz ar garantijas izsniegšanu šādam refinansētam aizdevumam tiks nodrošināta ne vien atbalsta intensitātes, bet arī nosacījuma par pašu finansējumu 25% apmērā, kas brīvs no komercdarbības atbalsta, ievērošana.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lūdzam skatīt izteikto iebildumu pie noteikumu 9.2. apakšpunkta, par nepieciešamību precizēt noteikumu projekta 9.2. un 16.11.apakšpunktu, skaidri norādot, ka garantiju, ko plānots izsniegt par refinansētu sabiedrības "Altum" aizdevumu, var izsniegt tikai pie nosacījuma, ja tiek ievērotas visas piemērojamās komercdarbības atbalsta regulējuma normas.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attiecībā uz izziņas 8.punktā sniegto skaidrojumu un anotācijas 1.3.sadaļā sniegto skaidrojumu par Altum izsniegto aizdevumu refinansēšanu kredītiestādē un kam plānots piešķirt garantiju šo noteikumu ietvaros, lūdzam pārskatīt minētajā izziņas punktā ietverto tekstu un precizēt to atbilstoši anotācijas 1.3.ietvertajam skaidrojumam, jo pašreiz izziņā ietvertais teksts nav korekts un atbilstošs skaidrojumam anotācijā.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Iebildumi ņemti vērā, MK noteikumu projekts un anotācija ir attiecīgi precizēti (par pirmo un otro rindkopu). Izziņas 8. punkts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anotācijas 5.4. sadaļas 1. tabulu, korekti atspoguļojot noteikumu projekta vienības, ar kurām tiek ieviestas Eiropas Savienības regulas prasības.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5. sadaļa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nodrošināt, ka noteikumu projekta 5. punkts atbilst noteikumu projekta anotācijai attiecībā uz minētā punkta saturu.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ja noteikumu projekta 5. punkts tiek atbilstoši precizēts, lūdzam noteikumu projekta anotācijā sniegt pamatotu skaidrojumu par minētā punkta atbilstību tiesiskās paļāvības principam. Proti, paužam bažas, ka nekustamā īpašuma attīstīšana, kas Nekustamā īpašuma valsts kadastra informācijas sistēmā reģistrējams kā dzīvojamā māja vai daudzdzīvokļu māja, varētu būt saturiski šaurāka saimnieciskā darbība, nekā NACE 2. red. L sadaļā "Operācijas ar nekustamo īpašumu" minētā saimnieciskā darbība. Un līdz ar to, ar noteikumu projekta 5. punktu paplašinot Ministru kabineta 2020. gada 16. jūnija noteikumu Nr. 383 "Noteikumi par garantijām saimnieciskās darbības veicējiem konkurētspējas uzlabošanai" (turpmāk - noteikumi Nr. 383) 16.7. apakšpunktā ietverto ierobežojumu atbalsta piešķiršanai ar citām NACE 2. red. L sadaļā "Operācijas ar nekustamo īpašumu" minētām saimnieciskajām darbībām, ciktāl attiecīgās saimnieciskās darbības neparedz nekustamā īpašuma attīstīšanu, varētu tikt nesamērīgi skarta attiecīgo atbalsta saņēmēju tiesiskā paļāvība, kuri veic saimniecisko darbību šādās nozarēs un jomās, kurās šobrīd noteikumu Nr. 383 16.7. un 16.8. apakšpunkts ierobežojumus neparedz.</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Skaidrojam, ka tiesiskās paļāvības princips noteic, ka privātpersona var paļauties, ka iestādes rīcība ir tiesiska un konsekventa, tai skaitā persona var paļauties, ka tā noteiktajā laikā varēs īstenot tai iegūtās tiesības. Satversmes tiesa ir norādījusi (</w:t>
            </w:r>
            <w:r w:rsidR="00000000" w:rsidRPr="00000000" w:rsidDel="00000000">
              <w:rPr>
                <w:i w:val="1"/>
                <w:rtl w:val="0"/>
              </w:rPr>
              <w:t xml:space="preserve">2009. gada 26. novembra spriedums lietā Nr. 2009-08-01</w:t>
            </w:r>
            <w:r w:rsidR="00000000" w:rsidRPr="00000000" w:rsidDel="00000000">
              <w:rPr>
                <w:rtl w:val="0"/>
              </w:rPr>
              <w:t xml:space="preserve">), ka gadījumā, kad normatīvā regulējuma grozījumu rezultātā notiek vai ir iespējama privātpersonu tiesiskā stāvokļa pasliktināšanās, tiesiskās paļāvības princips nodrošina šo personu tiesību aizsardzību, proti, persona var paļauties, ka tā noteiktajā laikā varēs īstenot tai iegūtās tiesības. Ievērojot minēto, lūdzam noteikumu projekta anotācijā izvērsti skaidrot, kā noteikumu projekta 5. punktā paredzētais grozījums ietekmēs esošos atbalsta saņēmējus (vai pasliktināsies to tiesiski iegūtais stāvoklis), tai skaitā, vai atbalsta saņēmēji ir informēti par iespējamiem grozījumiem un tie brīvprātīgi piekrituši šādiem grozījumiem. Ja minētais grozījums negatīvi un bez būtiska pamatojuma ietekmēs atbalsta saņēmēju jau iegūtās tiesības, Tieslietu ministrija nevar atbalstīt noteikumu projekta 5. punkta, ciktāl tas pārkāpj tiesiskās paļāvības principu, tālāku virzību.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Šobrīd  ar MK noteikumu 16.7. punktu nevar tikt piešķirts atbalsts visām operācijām ar nekustamo īpašumu (NACE 2. redakcijas L sadaļas "Operācijas ar nekustamo īpašumu" grupa 68.1 "Sava nekustama īpašuma pirkšana un pārdošana". Kā arī atbalsts MK noteikumu 16.8.punktā noteiktajām darbībām - nekustamā īpašuma attīstīšanai, kas Nekustamā īpašuma valsts kadastra informācijas sistēmā reģistrējams kā dzīvojamā māja vai daudzdzīvokļu māja;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Ar plānotajiem MK noteikumu grozījumiem ir plānots nevis paplašināt ierobežojumus atbalsta saņēmējiem, bet tieši otrādi – tos sašaurināt. MK noteikumi paredz, ka  pēc grozījumiem atbalstu varēs saņemt triju vai vairāku dzīvokļu māju būvniecībai, atjaunošanai vai pārbūvei ārpus Jūrmalas valstspilsētas, Rīgas valstspilsētas un Rīgas valstspilsētai piegulošo novadu (Mārupes novads, Olaines novads, Ķekavas novads, Salaspils novads, Ropažu novads, Ādažu novads) administratīvās teritorijas. Tādējādi ar plānotajiem MK noteikumu grozījumiem tiks atļautas tās (NACE 2. redakcijas L sadaļas "Operācijas ar nekustamo īpašumu" grupas 68.1 "Sava nekustama īpašuma pirkšana un pārdošana") darbības, kuras atbildīs MK noteikumu prasībām.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nosacījumus atbalsta piešķiršanai garantiju veidā saimnieciskās darbības veicēju konkurētspējas uzlabošanai un kārtību, kādā īsteno darbības programmas "Izaugsme un nodarbinātība" 3.1.1. specifiskā atbalsta mērķa "Sekmēt mazo un vidējo komersantu izveidi un attīstību, īpaši apstrādes rūpniecībā un RIS3 prioritārajās nozarēs" 3.1.1.1. pasākumu "Aizdevumu garantijas" (turpmāk – 3.1.1.1. pasākums) tiešo finanšu instrumentu veidā.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noteikumu projekta 1.punktu, papildinot ar informāciju, ka šie noteikumi nosaka arī  13.1.1. specifiskā atbalsta mērķa "Atveseļošanas pasākumi ekonomikas nozarē" 13.1.1.1. pasākuma "MVU izveide un attīstība" īstenošanas nosacījumus.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nosacījumus atbalsta piešķiršanai garantiju veidā saimnieciskās darbības veicēju konkurētspējas uzlabošanai un kārtību, kādā īsteno darbības programmas "Izaugsme un nodarbinātība" 3.1.1. specifiskā atbalsta mērķa "Sekmēt mazo un vidējo komersantu izveidi un attīstību, īpaši apstrādes rūpniecībā un RIS3 prioritārajās nozarēs" 3.1.1.1. pasākumu "Aizdevumu garantijas" (turpmāk – 3.1.1.1. pasākums) un 13.1.1. specifiskā atbalsta mērķa "Atveseļošanas pasākumi ekonomikas nozarē" 13.1.1.1. pasākuma "MVU izveide un attīstība" (turpmāk – 13.1.1.1. pasākums) tiešo finanšu instrumentu veidā.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ņemts vērā un MK noteikumu 1. punkts grozīts uz piedāvātajā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Noteikumi nosaka nosacījumus atbalsta piešķiršanai garantiju veidā saimnieciskās darbības veicēju konkurētspējas uzlabošanai un kārtību, kādā īsteno darbības programmas "Izaugsme un nodarbinātība" 3.1.1. specifiskā atbalsta mērķa "Sekmēt mazo un vidējo komersantu izveidi un attīstību, īpaši apstrādes rūpniecībā un RIS3 prioritārajās nozarēs" 3.1.1.1. pasākumu "Aizdevumu garantijas" (turpmāk – 3.1.1.1. pasākums) un 13.1.1. specifiskā atbalsta mērķa "Atveseļošanas pasākumi ekonomikas nozarē" 13.1.1.1. pasākuma "MVU izveide un attīstība" (turpmāk – 13.1.1.1. pasākums) tiešo finanšu instrumentu veidā.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Šo noteikumu izpratnē jaundibināts saimnieciskās darbības veicējs ir sīkais (mikro), mazais un vidējais saimnieciskās darbības veicējs – juridiska persona, kas ne agrāk kā trīs gadus pirms garantijas pieteikuma iesniegšanas dienas ir reģistrēta attiecīgajā reģistrā un kurai nav kredītvēstures vai novērtējuma, kas pamatots ar komersanta vai saistīto personu bilanci.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- 16.11.2021.)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salāgot noteikumu projektu ar noteikumu projekta anotāciju. Proti, vēršam uzmanību, ka noteikumu projekta anotācijā iepretim noteikumu projektam norādīts uz to, ka jaundibinātam saimnieciskās darbības veicējam nav kredītvēstures vai novērtējuma, kas pamatots ar bilanci, neprecizējot uz ko attiecināma bilance - komersantu vai saistīto personu. Turklāt, ņemot vērā, ka terminam "juridiskā persona" ir no termina "komersants" atšķirīgs saturs un tvērums, no noteikumu projekta un tā anotācijas nav skaidri saprotams, vai noteikumu projekta 1. punktā ietvertais grozījums attiecināms vienīgi uz juridiskām personām - komersantiem. Attiecīgi lūdzam papildināt noteikumu projekta anotāciju ar atbilstošu skaidrojumu, nepieciešamības gadījumā precizējot noteikumu projekta 1.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Šo noteikumu izpratnē jaundibināts saimnieciskās darbības veicējs ir sīkais (mikro), mazais un vidējais saimnieciskās darbības veicējs – juridiska persona, kas ne agrāk kā trīs gadus pirms garantijas pieteikuma iesniegšanas dienas ir reģistrēta attiecīgajā reģistrā un kurai nav kredītvēstures vai novērtējuma, kas pamatots ar komersanta vai saistīto personu bilanci.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7.5. Šo noteikumu </w:t>
            </w:r>
            <w:r w:rsidR="00000000" w:rsidRPr="00000000" w:rsidDel="00000000">
              <w:rPr>
                <w:rtl w:val="0"/>
              </w:rPr>
              <w:t xml:space="preserve">7.4.</w:t>
            </w:r>
            <w:r w:rsidR="00000000" w:rsidRPr="00000000" w:rsidDel="00000000">
              <w:rPr>
                <w:rtl w:val="0"/>
              </w:rPr>
              <w:t xml:space="preserve"> apakšpunkta  finansējuma ietvaros sasniedzamais iznākuma rādītājs, privātais finansējums, kas piesaistīts publiskajam finansējumam: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7.punktā noteikto, lūdzam izteikt 7.5.apakšpunktu kā atsevišķu punktu, piemēram, zemāk piedāvātajā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Tāpat lūdzam papildināt noteikumu projektu ar 13.1.1.1. pasākuma ietvaros plānoto iznākuma rādītāju “To saimnieciskās darbības veicēju skaits, kuri saņem finansiālu atbalstu, kas nav granti”.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aicinām ar nākamajiem Ministru kabineta 2009. gada 15. septembra noteikumu Nr. 1065 "Noteikumi par aizdevumiem sīko (mikro), mazo un vidējo saimnieciskās darbības veicēju un lauksaimniecības un mežsaimniecības pakalpojumu kooperatīvo sabiedrību attīstības veicināšanai" grozījumiem precizēt šo noteikumu 5.71. un 5.72. apakšpunktu, samazinot šajos apakšpunktos noteikto iznākuma rādītāju vērtības par 14 un 6 atbilstoši.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r w:rsidR="00000000" w:rsidRPr="00000000" w:rsidDel="00000000">
              <w:rPr>
                <w:vertAlign w:val="superscript"/>
                <w:rtl w:val="0"/>
              </w:rPr>
              <w:t xml:space="preserve">1 </w:t>
            </w:r>
            <w:r w:rsidR="00000000" w:rsidRPr="00000000" w:rsidDel="00000000">
              <w:rPr>
                <w:rtl w:val="0"/>
              </w:rPr>
              <w:t xml:space="preserve">Šo noteikumu 7.4. apakšpunkta  finansējuma ietvaros ir sasniedzami šādi iznākuma rādītāji: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r w:rsidR="00000000" w:rsidRPr="00000000" w:rsidDel="00000000">
              <w:rPr>
                <w:vertAlign w:val="superscript"/>
                <w:rtl w:val="0"/>
              </w:rPr>
              <w:t xml:space="preserve">1</w:t>
            </w:r>
            <w:r w:rsidR="00000000" w:rsidRPr="00000000" w:rsidDel="00000000">
              <w:rPr>
                <w:rtl w:val="0"/>
              </w:rPr>
              <w:t xml:space="preserve"> 1. to saimnieciskās darbības veicēju skaits, kuri saņem finansiālu atbalstu, kas nav granti: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r w:rsidR="00000000" w:rsidRPr="00000000" w:rsidDel="00000000">
              <w:rPr>
                <w:vertAlign w:val="superscript"/>
                <w:rtl w:val="0"/>
              </w:rPr>
              <w:t xml:space="preserve">1</w:t>
            </w:r>
            <w:r w:rsidR="00000000" w:rsidRPr="00000000" w:rsidDel="00000000">
              <w:rPr>
                <w:rtl w:val="0"/>
              </w:rPr>
              <w:t xml:space="preserve"> 1.1. par 2021. gada piešķīrumu ir 14 komersanti;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r w:rsidR="00000000" w:rsidRPr="00000000" w:rsidDel="00000000">
              <w:rPr>
                <w:vertAlign w:val="superscript"/>
                <w:rtl w:val="0"/>
              </w:rPr>
              <w:t xml:space="preserve">1</w:t>
            </w:r>
            <w:r w:rsidR="00000000" w:rsidRPr="00000000" w:rsidDel="00000000">
              <w:rPr>
                <w:rtl w:val="0"/>
              </w:rPr>
              <w:t xml:space="preserve"> 1.2. par 2022. gada piešķīrumu ir 6 komersanti.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r w:rsidR="00000000" w:rsidRPr="00000000" w:rsidDel="00000000">
              <w:rPr>
                <w:vertAlign w:val="superscript"/>
                <w:rtl w:val="0"/>
              </w:rPr>
              <w:t xml:space="preserve">1</w:t>
            </w:r>
            <w:r w:rsidR="00000000" w:rsidRPr="00000000" w:rsidDel="00000000">
              <w:rPr>
                <w:rtl w:val="0"/>
              </w:rPr>
              <w:t xml:space="preserve"> 2. privātais finansējums, kas piesaistīts publiskajam finansējumam: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r w:rsidR="00000000" w:rsidRPr="00000000" w:rsidDel="00000000">
              <w:rPr>
                <w:vertAlign w:val="superscript"/>
                <w:rtl w:val="0"/>
              </w:rPr>
              <w:t xml:space="preserve">1</w:t>
            </w:r>
            <w:r w:rsidR="00000000" w:rsidRPr="00000000" w:rsidDel="00000000">
              <w:rPr>
                <w:rtl w:val="0"/>
              </w:rPr>
              <w:t xml:space="preserve"> 2.1. par 2021. gada piešķīrumu ir 20 000 000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r w:rsidR="00000000" w:rsidRPr="00000000" w:rsidDel="00000000">
              <w:rPr>
                <w:vertAlign w:val="superscript"/>
                <w:rtl w:val="0"/>
              </w:rPr>
              <w:t xml:space="preserve">1</w:t>
            </w:r>
            <w:r w:rsidR="00000000" w:rsidRPr="00000000" w:rsidDel="00000000">
              <w:rPr>
                <w:rtl w:val="0"/>
              </w:rPr>
              <w:t xml:space="preserve"> 2.2. par 2022. gada piešķīrumu ir 10 000 000 </w:t>
            </w:r>
            <w:r w:rsidR="00000000" w:rsidRPr="00000000" w:rsidDel="00000000">
              <w:rPr>
                <w:i w:val="1"/>
                <w:rtl w:val="0"/>
              </w:rPr>
              <w:t xml:space="preserve">euro</w:t>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ņemts vērā, MK noteikumu projekts papildināts piedāvātajā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ja tiek refinansēts sabiedrības "Altum" aizdevums;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- 16.11.2021.)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projektā ietvert papildus punktu, nosakot, ka 9.2.apakšpunktā noteiktajām darbībām var sniegt finansējumu no 7.2. un 7.3.apakšpunktā noteiktā finansējuma avota. Vēršam uzmanību, ka anotācija nav normatīvais akts. Anotācija tikai paskaidro noteikumu projektā noteikto, līdz ar to anotācijā sniegtais skaidrojums, ka ERAF netiks izmantots aizdevumu refinansēšanai, nerāda normatīvo regulējumu.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ir papildināts ar norādi, ka 9.2. apakšpunktā noteiktajām darbībām var sniegt finansējumu no 7.2. un 7.3.apakpunktā noteiktajiem finansējuma avotiem.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ja tiek refinansēts sabiedrības "Altum" aizdevums, ievērojot visas piemērojamās komercdarbības atbalsta regulējuma normas. Aizdevuma refinansēšanai izmanto šo noteikumu 7.2. un 7.3. apakšpunktā noteikto finansējuma avotu.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ja tiek refinansēts sabiedrības "Altum" aizdevums;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- 16.11.2021.)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anotācijā skaidrot, vai ar sabiedrības "Altum" aizdevuma refinansēšanu tiek saprasta "Altum" izsniegta aizdevuma refinansēšana citā kredītiestādē, kuram ir plānots piešķirt Altum garantiju šo noteikumu ietvaros. Papildus vēršam uzmanību, ka Altum aizdevumi tiek sniegti saskaņā ar atbalsta programmās paredzēto komercdarbības atbalsta regulējumu. Piemēram, ja Altum aizdevums tiek sniegts kā reģionālais atbalsts un tam jau ir piemērota maksimālā atbalsta intensitāte, papildu </w:t>
            </w:r>
            <w:r w:rsidR="00000000" w:rsidRPr="00000000" w:rsidDel="00000000">
              <w:rPr>
                <w:i w:val="1"/>
                <w:rtl w:val="0"/>
              </w:rPr>
              <w:t xml:space="preserve">de minimis</w:t>
            </w:r>
            <w:r w:rsidR="00000000" w:rsidRPr="00000000" w:rsidDel="00000000">
              <w:rPr>
                <w:rtl w:val="0"/>
              </w:rPr>
              <w:t xml:space="preserve"> atbalstu tam piešķirt vairs nevar, jo tiktu pārkāpta reģionālajam atbalsta noteiktā maksimālā atbalsta intenstitāte. Attiecīgi lūdzam anotācijā ietvert skaidrojumu, aprakstot arī garantiju sniegšanas mehānismu šādos gadījumos, lai tiktu nodrošināta korekta komercdarbības atbalsta kontroles normu ievērošana.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anotācija ir papildināta.  Ar sabiedrības "Altum" aizdevuma refinansēšanu tiek saprasta "Altum" izsniegta aizdevuma refinansēšana citā kredītiestādē, kuram ir plānots piešķirt Altum garantiju šo noteikumu ietvaros, ievērojot piemērojamā valsts atbalsta nosacījumus. Piemērām, ja Altum aizdevums ir sniegts kā reģionālais atbalsts, tad līdz ar garantijas izsniegšanu šādam refinansētam aizdevumam tiks nodrošināta ne vien atbalsta intensitātes, bet arī nosacījuma par pašu finansējumu 25% apmērā, kas brīvs no komercdarbības atbalsta, ievērošana. Savukārt, ja aizdevums piešķirts kā de minimis atbalsts, tiks atkāroti vērtēts vai iespējams piešķirt papildus de minimis atbalstu.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ja tiek refinansēts sabiedrības "Altum" aizdevums, ievērojot visas piemērojamās komercdarbības atbalsta regulējuma normas. Aizdevuma refinansēšanai izmanto šo noteikumu 7.2. un 7.3. apakšpunktā noteikto finansējuma avotu.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Uzturam iepriekš izteikto Finanšu ministrijas iebildumu par nepieciešamību precizēt noteikumu projekta 9.2. un 16.11.apakšpunktu, skaidri norādot, ka garantiju, ko plānots izsniegt par refinansētu sabiedrības "Altum" aizdevumu, var izsniegt tikai pie nosacījuma, ja tiek ievērotas visas piemērojamās komercdarbības atbalsta regulējuma normas.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attiecībā uz anotācijas 1.3.sadaļā ietverto skaidrojumu, ka "</w:t>
            </w:r>
            <w:r w:rsidR="00000000" w:rsidRPr="00000000" w:rsidDel="00000000">
              <w:rPr>
                <w:i w:val="1"/>
                <w:rtl w:val="0"/>
              </w:rPr>
              <w:t xml:space="preserve">Noteikumu projektā tiek paredzēts, ka garantijas var tikt piešķirtas nevis tikai jauniem finanšu pakalpojumiem, bet arī esošām saistībām, kad tiek refinansēts Altum aizdevums citā kredītiestādē un tam tiek piesaistīta Altum garantija, ievērojot piemērojamā valsts atbalsta nosacījumus. Piemēram, ja Altum aizdevums ir sniegts kā reģionālais atbalsts, tiek vērtēts vai ar papildus garantijas piešķiršanu netiktu pārsniegta maksimālā atbalsta intensitāte, savukārt, ja aizdevums piešķirts kā de minimis atbalsts, vai iespējams piešķirt papildus de minimis atbalstu</w:t>
            </w:r>
            <w:r w:rsidR="00000000" w:rsidRPr="00000000" w:rsidDel="00000000">
              <w:rPr>
                <w:rtl w:val="0"/>
              </w:rPr>
              <w:t xml:space="preserve">", lūdzam to papildināt, norādot, ka gadījumā, ja sabiedrības "Altum" aizdevums bija izsniegts kā reģionālais atbalsts, tad līdz ar garantijas izsniegšanu šādam refinansētam aizdevumam tiks nodrošināta ne vien atbalsta intensitātes, bet arī nosacījuma par pašu finansējumu 25% apmērā, kas brīvs no komercdarbības atbalsta, ievērošana.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attiecībā uz izziņas 8.punktā sniegto skaidrojumu un anotācijas 1.3.sadaļā sniegto skaidrojumu par Altum izsniegto aizdevumu refinansēšanu kredītiestādē un kam plānots piešķirt garantiju šo noteikumu ietvaros, lūdzam pārskatīt minētajā izziņas punktā ietverto tekstu un precizēt to atbilstoši anotācijas 1.3.ietvertajam skaidrojumam, jo pašreiz izziņā ietvertais teksts nav korekts un atbilstošs skaidrojumam anotācijā.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skatīt atbildi pie iebilduma Nr. 10., jo iebildumi sakrīt.</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ja tiek refinansēts sabiedrības "Altum" aizdevums, ievērojot visas piemērojamās komercdarbības atbalsta regulējuma normas. Aizdevuma refinansēšanai izmanto šo noteikumu 7.2. un 7.3. apakšpunktā noteikto finansējuma avotu.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 Šo noteikumu </w:t>
            </w:r>
            <w:r w:rsidR="00000000" w:rsidRPr="00000000" w:rsidDel="00000000">
              <w:rPr>
                <w:rtl w:val="0"/>
              </w:rPr>
              <w:t xml:space="preserve">9.</w:t>
            </w:r>
            <w:r w:rsidR="00000000" w:rsidRPr="00000000" w:rsidDel="00000000">
              <w:rPr>
                <w:rtl w:val="0"/>
              </w:rPr>
              <w:t xml:space="preserve"> punktā noteiktos nosacījumus nepiemēro, ja tiek pagarināts sabiedrības "Altum" iepriekš garantēto finanšu pakalpojumu līguma darbības termiņš šo noteikumu </w:t>
            </w:r>
            <w:r w:rsidR="00000000" w:rsidRPr="00000000" w:rsidDel="00000000">
              <w:rPr>
                <w:rtl w:val="0"/>
              </w:rPr>
              <w:t xml:space="preserve">8.</w:t>
            </w:r>
            <w:r w:rsidR="00000000" w:rsidRPr="00000000" w:rsidDel="00000000">
              <w:rPr>
                <w:rtl w:val="0"/>
              </w:rPr>
              <w:t xml:space="preserve"> punktā minētajiem finanšu pakalpojumiem.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- 16.11.2021.)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vērtēt šī punkta nepieciešamību no pārklāšanās viedokļa ar 9.1. apakšpunktā minēto, kā arī atbilstoši papildināt 9.1. apakšpunktu.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MK noteikumu 9.1. punktā ir noteikts, ka atbalstu var saņemt tikai par jauniem finanšu pakalpojumiem, izņemot, ja citā kredītiestādē tiek pagarināts darbības termiņš iepriekš noslēgtiem šādiem finanšu pakalpojumiem: aizdevumam apgrozāmo līdzekļu finansēšanai, faktoringam un banku garantijai. Savukārt 9.</w:t>
            </w:r>
            <w:r w:rsidR="00000000" w:rsidRPr="00000000" w:rsidDel="00000000">
              <w:rPr>
                <w:vertAlign w:val="superscript"/>
                <w:rtl w:val="0"/>
              </w:rPr>
              <w:t xml:space="preserve">1</w:t>
            </w:r>
            <w:r w:rsidR="00000000" w:rsidRPr="00000000" w:rsidDel="00000000">
              <w:rPr>
                <w:rtl w:val="0"/>
              </w:rPr>
              <w:t xml:space="preserve"> punkts norāda, ka šis nosacījums (ka garantiju piešķir tikai jauniem finanšu pakalpojumiem) netiek piemērots, ja tiek pagarināts Altum iepriekš garantēto finanšu pakalpojumu līguma termiņš.</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r w:rsidR="00000000" w:rsidRPr="00000000" w:rsidDel="00000000">
              <w:rPr>
                <w:vertAlign w:val="superscript"/>
                <w:rtl w:val="0"/>
              </w:rPr>
              <w:t xml:space="preserve">1</w:t>
            </w:r>
            <w:r w:rsidR="00000000" w:rsidRPr="00000000" w:rsidDel="00000000">
              <w:rPr>
                <w:rtl w:val="0"/>
              </w:rPr>
              <w:t xml:space="preserve"> Šo noteikumu 9. punktā noteiktos nosacījumus nepiemēro, ja tiek pagarināts sabiedrības "Altum" iepriekš garantēto finanšu pakalpojumu līguma darbības termiņš šo noteikumu 8. punktā minētajiem finanšu pakalpojumiem.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16.7. operācijām ar nekustamo īpašumu (NACE 2. redakcijas. L sadaļas "Operācijas ar nekustamo īpašumu" grupa 68.1 "Sava nekustama īpašuma pirkšana un pārdošana" un grupa 68.31 "Starpniecība darbībā ar nekustamo īpašumu"), izņemot 68.1 grupu "Sava nekustama īpašuma pirkšana un pārdošana", ja saimnieciskās darbības veicējs veic nekustamā īpašuma (būves), kura galvenais lietošanas veids atbilstoši normatīvajam regulējumam par būvju klasifikāciju ir triju vai vairāku dzīvokļu māja, būvniecību, atjaunošanu vai pārbūvi ārpus Jūrmalas valstspilsētas, Rīgas valstspilsētas un Rīgas valstspilsētai piegulošo novadu (Mārupes novads, Olaines novads, Ķekavas novads, Salaspils novads, Ropažu novads, Ādažu novads) administratīvās teritorijas.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- 16.11.2021.)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 noteikumu projekta 5. un 6. punkta nav gūstama pārliecība par izdarīto grozījumu Ministru kabineta 2020. gada 16. jūnija noteikumos Nr. 383 "Noteikumi par garantijām saimnieciskās darbības veicējiem konkurētspējas uzlabošanai" (turpmāk - noteikumi Nr. 383) tvērumu un saturu, konkrētāk - par to, kādām nozarēm un darbībām atbalstu turpmāk paredzēts nepiešķirt. Proti, no noteikumu Nr. 383 16.8. apakšpunkta, kas tiek svītrots ar noteikumu projekta 6. punktu, izriet, ka atbalstu nepiešķir nekustamā īpašuma attīstīšanai, kas Nekustamā īpašuma valsts kadastra informācijas sistēmā reģistrējams kā dzīvojamā māja vai daudzdzīvokļu māja, savukārt 16.7. apakšpunktā ietvertais izņēmuma gadījums, kurš noteikts ar noteikumu projekta 5. punktu, ir saturiski šaurāks par 16.8. apakšpunktu. Līdz ar to nav viennozīmīgi skaidrs, vai atbalstu turpmāk paredzēts piesķirt nekustamā īpašuma attīstīšanai, kas Nekustamā īpašuma valsts kadastra informācijas sistēmā reģistrējams kā dzīvojamā māja vai daudzdzīvokļu māja, izņemot 16.7. apakšpunktā paredzēto izņēmuma gadījumu, kā arī pamatojums šādam regulējumam. Attiecīgi lūdzam sniegt atbilstošu skaidrojumu par minēto noteikumu projekta anotācijā (tai skaitā par nepieciešamību un mērķi vairs neparedzēt atbalsta piešķiršanai vispārīgu ierobežojumu attiecībā uz nekustamā īpašuma attīstīšanu), nepieciešamības gadījumā precizējot noteikumu projekta 5. un 6.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16.7. operācijām ar nekustamo īpašumu (NACE 2. redakcijas. L sadaļas "Operācijas ar nekustamo īpašumu" grupa 68.1 "Sava nekustama īpašuma pirkšana un pārdošana" un grupa 68.31 "Starpniecība darbībā ar nekustamo īpašumu"), izņemot 68.1 grupu "Sava nekustama īpašuma pirkšana un pārdošana", ja saimnieciskās darbības veicējs veiks nekustamā īpašuma (būves), kura galvenais lietošanas veids atbilstoši normatīvajam regulējumam par būvju klasifikāciju ir triju vai vairāku dzīvokļu māja, būvniecību, atjaunošanu vai pārbūvi ārpus Jūrmalas valstspilsētas, Rīgas valstspilsētas un Rīgas valstspilsētai piegulošo novadu (Mārupes novads, Olaines novads, Ķekavas novads, Salaspils novads, Ropažu novads, Ādažu novads) administratīvās teritorijas.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16.11. projektiem, kas ir fiziski pabeigti vai pilnībā īstenoti, izņemot gadījumu, ja tiek pagarināts sabiedrības "Altum" iepriekš izsniegtās garantijas termiņš vai refinansēts sabiedrības "Altum" aizdevums, ievērojot </w:t>
            </w:r>
            <w:r w:rsidR="00000000" w:rsidRPr="00000000" w:rsidDel="00000000">
              <w:rPr>
                <w:i w:val="1"/>
                <w:rtl w:val="0"/>
              </w:rPr>
              <w:t xml:space="preserve">de minimis</w:t>
            </w:r>
            <w:r w:rsidR="00000000" w:rsidRPr="00000000" w:rsidDel="00000000">
              <w:rPr>
                <w:rtl w:val="0"/>
              </w:rPr>
              <w:t xml:space="preserve"> atbalsta nosacījumus.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- 16.11.2021.)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anotācijā skaidrot, vai ar sabiedrības "Altum" aizdevuma refinansēšanu tiek saprasta "Altum" izsniegta aizdevuma refinansēšana citā kredītiestādē, kuram ir plānots piešķirt Altum garantiju šo noteikumu ietvaros. Papildus vēršam uzmanību, ka Altum aizdevumi tiek sniegti saskaņā ar atbalsta programmās paredzēto komercdarbības atbalsta regulējumu. Piemēram, ja Altum aizdevums tiek sniegts kā reģionālais atbalsts un tam jau ir piemērota maksimālā atbalsta intensitāte, papildu </w:t>
            </w:r>
            <w:r w:rsidR="00000000" w:rsidRPr="00000000" w:rsidDel="00000000">
              <w:rPr>
                <w:i w:val="1"/>
                <w:rtl w:val="0"/>
              </w:rPr>
              <w:t xml:space="preserve">de minimis</w:t>
            </w:r>
            <w:r w:rsidR="00000000" w:rsidRPr="00000000" w:rsidDel="00000000">
              <w:rPr>
                <w:rtl w:val="0"/>
              </w:rPr>
              <w:t xml:space="preserve"> atbalstu tam piešķirt vairs nevar, jo tiktu pārkāpta reģionālajam atbalsta noteiktā maksimālā atbalsta intenstitāte. Attiecīgi lūdzam anotācijā ietvert skaidrojumu, aprakstot arī garantiju sniegšanas mehānismu šādos gadījumos, lai tiktu nodrošināta korekta komercdarbības atbalsta kontroles normu ievērošana.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skatīt informāciju pie izziņas 8. punkta.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16.11. projektiem, kas ir fiziski pabeigti vai pilnībā īstenoti, izņemot gadījumu, ja tiek pagarināts sabiedrības "Altum" iepriekš izsniegtās garantijas termiņš vai refinansēts sabiedrības "Altum" aizdevums, ievērojot visas piemērojamās komercdarbības atbalsta regulējuma normas.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Ja ir pārkāptas Komisijas regulas Nr. 1407/2013 prasības, atbalsta saņēmējam ir pienākums atmaksāt sabiedrībai "Altum" visu projekta ietvaros saņemto valsts atbalstu kopā ar procentiem, kuru likmi publicē Eiropas Komisija saskaņā ar Komisijas 2004. gada 21. aprīļa Regulas (EK) Nr. 794/2004, ar ko īsteno Padomes Regulu (ES)  </w:t>
            </w:r>
            <w:r w:rsidR="00000000" w:rsidRPr="00000000" w:rsidDel="00000000">
              <w:rPr>
                <w:rtl w:val="0"/>
              </w:rPr>
              <w:t xml:space="preserve">2015/1589</w:t>
            </w:r>
            <w:r w:rsidR="00000000" w:rsidRPr="00000000" w:rsidDel="00000000">
              <w:rPr>
                <w:rtl w:val="0"/>
              </w:rPr>
              <w:t xml:space="preserve">,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- 16.11.2021.)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Ministru kabineta 2009. gada 3. februāra noteikumu Nr. 108 "Normatīvo aktu projektu sagatavošanas noteikumi" 3.2. apakšpunktu lūdzam svītrot vai precizēt noteikumu Nr. 383 28. punktu kā Komercdarbības atbalsta kontroles likuma prasību dublējošu.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Ja ir pārkāptas Komisijas regulas Nr. 1407/2013 prasības, atbalsta saņēmējam ir pienākums atmaksāt sabiedrībai "Altum" visu projekta ietvaros saņemto valsts atbalstu kopā ar procentiem no līdzekļiem, kas brīvi no valsts atbalsta, saskaņā ar Komercdarbības atbalsta kontroles likuma IV vai V nodaļu.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Izteikt 7. punktu šādā redakcijā: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- 25.04.2022.)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ar Darbības programmas “Izaugsme un nodarbinātība” grozījumu priekšlikumiem Nr.8 (turpmāk – DP grozījumu priekšlikumi) tiek virzīti grozījumi React-EU finansējuma samazināšanai, ko plānots aizstāt ar valsts budžeta virssaistībām (šobrīd saskaņošanā ES struktūrfondu un Kohēzijas fonda 2014.-2020.gada plānošanas perioda Uzraudzības komitejā (turpmāk – UK) ar termiņu komentāru sniegšanai – 28.aprīlis, pēc DP grozījumu priekšlikumu saskaņošanas UK, tas nekavējoties tiks virzīts apstiprināšanai MK). Saskaņā ar DP grozījumu priekšlikumiem 13.1.1.1.pasākuma React-EU finansējums jāsamazina par 190 718 EUR un esošais valsts budžeta līdzfinansējums (3 750 001 EUR) pilnībā jāaizstāj ar valsts budžeta virssaistībām 3 940 719 EUR apmērā. Minētās izmaiņas garantiju valsts atbalsta pasākumā Ekonomikas ministrija var veikt jau tagad, bet tās ir atbalstāmas tikai pēc Ministru kabineta (turpmāk – MK) lēmuma par valsts budžeta virssaistību piešķiršanas, kas tiks virzīts uz MK kopā ar minētajiem DP grozījumu priekšlikumiem.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minēto ierosinām virzīt noteikumu projektu apstiprināšanai MK kopā ar DP grozījumu projektu vai pēc tā apstiprināšanas MK, lai grozījumi noteikumu projektā nav jāveic divreiz.</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 un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pārskatīt un noteikumu projekta anotācijā korekti atspoguļot noteikumu Nr. 383 vienības, kurās paredzēts izdarīt grozījumus (sk. jo īpaši skaidrojumu par grozījumiem noteikumu Nr. 383 16.7. un 16.8. apakšpunktā).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Iebildums ņemts vērā, ir izlabota kļūda numerācijā.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anotācijā precizēt informāciju par 13.1.1.1. pasākuma iznākuma rādītājiem, ņemot vērā noteikumu projekta 4.punktu.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anotācijā ietvertās informācijas nepārprotamam atspoguļojumam lūdzam anotācijā norādīt arī par citiem papildu iznākuma rādītājiem 13.1.1.1. pasākuma ietvaros par 2021. gada un 2022. gada piešķīrumu, t.i., ne tikai par privāto finansējumu, kas piesaistīts publiskajam finansējumam.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Norādām, ka Ministru kabineta 2017.gada 5.septembra noteikumos Nr. 537 "Noteikumi par portfeļgarantijām sīko (mikro), mazo un vidējo saimnieciskās darbības veicēju – juridisko personu – kreditēšanas veicināšanai" paredzētais un saskaņā ar Ministru kabineta 2020.gada 25.marta rīkojumu Nr.122 “Par rezerves kapitāla palielināšanu” Altum rezerves kapitālā ieskaitītais valsts budžeta finansējums 8 500 000 euro apmērā bija paredzēts krīzes garantiju programmas un krīzes aizdevumu programmas finansēšanai. Ņemot vērā minēto, lūdzam precizēt un papildināt anotācijas 3.sadaļu pie citas informācijas, norādot, ka valsts budžeta finansējums 8 500 000 euro apmērā tiks nodrošināts saskaņā ar Ministru kabineta 2020.gada 25.marta rīkojumu Nr.122 Altum rezerves kapitālā ieskaitītā finansējuma ietvaros un attiecīgi tiks izmantots rīkojumā paredzētajam mērķim, tas ir krīzes garantiju programmas finansēšanai.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Tiks atzīts par aktualitāti zaudējušu Ministru kabineta 2022. gada 15. marta sēdes protokollēmuma (prot. Nr. 15 35. §) 4.punktā ietvertais uzdevumus, kas paredzēja finansējuma novirzīšanas no Ministra kabineta noteikumiem Nr.537 uz šiem noteikumiem (MKN 383). Finansējums 8,5milj euro apmērā tiks novirzīts atbalsta programmas “Garantiju programmas Krievijas militārās agresijas pret Ukrainu radīto seku uz ekonomiku mazināšanai īstenošanas noteikumi” finansēšanai, tādējādi tiks izmantots rīkojumā (2020.gada 25.marta rīkojums Nr.122) paredzētajam mērķim, tas ir, krīzes garantiju programmas finansēšanai.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Tiesību akta projekta ietekme uz valsts budžetu un pašvaldību budžetiem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- 22.04.2022.)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ar noteikumu projekta 13. punktu paredzēts izdarīt grozījumu Ministru kabineta 2020. gada 16. jūnija noteikumu Nr. 383 "Noteikumi par garantijām saimnieciskās darbības veicējiem konkurētspējas uzlabošanai" vienībā, ar kuru ieviestas Komisijas 2013. gada 18. decembra Regulas (ES) Nr. 1407/2013 par Līguma par Eiropas Savienības darbību 107. un 108. panta piemērošanu de minimis atbalstam prasības, lūdzam saskaņā ar Ministru kabineta 2021. gada 7. septembra noteikumu Nr. 617 "Tiesību akta projekta sākotnējās ietekmes izvērtēšanas kārtība" 9.19. apakšpunktu atbilstoši papildināt noteikumu projekta anotācijas 5.4. sadaļas 1. tabulu ar skaidrojumu par minētās regulas prasību ieviešanu 13. punktā.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Papildināta anotācija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MK sēdes protokollēmuma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Ekonomikas ministrijai sadarbībā ar akciju sabiedrību "Attīstības finanšu institūcija Altum" mēneša laikā no noteikumu apstiprināšanas Ministru kabinetā sagatavot un iesniegt Ministru kabinetā precizētu programmas rādītāju un sagaidāmo zaudējumu novērtējumu saskaņā ar Attīstības finanšu institūcijas likuma 12.panta trešās daļas prasībām.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- 07.04.2022.)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Atbilstoši Ministru kabineta 2021. gada 7. septembra noteikumiem Nr. 606 "Ministru kabineta kārtības rullis" lūdzam precizēt lēmuma projekta 3. punktu, paredzot, ka precizētu programmas rādītāju un sagaidāmo zaudējumu novērtējumu Ministru kabinetā iesniedz ekonomikas ministrs.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MK noteikumu protokollēmums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Ekonomikas ministrijai sadarbībā ar akciju sabiedrību "Attīstības finanšu institūcija Altum" mēneša laikā no noteikumu apstiprināšanas Ministru kabinetā sagatavot un ekonomikas ministram iesniegt Ministru kabinetā precizētu programmas rādītāju un sagaidāmo zaudējumu novērtējumu saskaņā ar Attīstības finanšu institūcijas likuma 12.panta trešās daļas prasībām.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- 17.01.2022.)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noteikumu 9.2.apakšpunkta interpretācijas risku, lūdzam to precizēt, piemēram, zemāk piedāvātajā redakcijā.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ja tiek refinansēts sabiedrības "Altum" aizdevums. Aizdevuma refinansēšanai izmanto šo noteikumu 7.2. un 7.3. apakšpunktā noteikto finansējuma avotu.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Iebildumi ņemti vērā, MK noteikumu projekts ir attiecīgi precizēts.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ja tiek refinansēts sabiedrības "Altum" aizdevums, ievērojot visas piemērojamās komercdarbības atbalsta regulējuma normas. Aizdevuma refinansēšanai izmanto šo noteikumu 7.2. un 7.3. apakšpunktā noteikto finansējuma avotu.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ja tiek refinansēts sabiedrības "Altum" aizdevums, ievērojot visas piemērojamās komercdarbības atbalsta regulējuma normas. Aizdevuma refinansēšanai izmanto no šo noteikumu 7.2. un 7.3. apakšpunktā noteikto finansējuma avotu.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MK noteikumu 9.2.apakšpunkta otro teikumu, svītrojot vārdu “no”.</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Aizdevuma refinansēšanai izmanto šo noteikumu 7.2. un 7.3. apakšpunktā noteikto finansējuma avotu.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projekts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9.2. ja tiek refinansēts sabiedrības "Altum" aizdevums, ievērojot visas piemērojamās komercdarbības atbalsta regulējuma normas. Aizdevuma refinansēšanai izmanto šo noteikumu 7.2. un 7.3. apakšpunktā noteikto finansējuma avotu.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Ja ir pārkāptas Komisijas regulas Nr. 1407/2013 prasības, atbalsta saņēmējam ir pienākums atmaksāt sabiedrībai "Altum" visu projekta ietvaros saņemto valsts atbalstu kopā ar procentiem, kuru likmi publicē Eiropas Komisija saskaņā ar Komisijas 2004. gada 21. aprīļa Regulas (EK) Nr. 794/2004, ar ko īsteno Padomes Regulu (ES)  </w:t>
            </w:r>
            <w:r w:rsidR="00000000" w:rsidRPr="00000000" w:rsidDel="00000000">
              <w:rPr>
                <w:rtl w:val="0"/>
              </w:rPr>
              <w:t xml:space="preserve">2015/1589</w:t>
            </w:r>
            <w:r w:rsidR="00000000" w:rsidRPr="00000000" w:rsidDel="00000000">
              <w:rPr>
                <w:rtl w:val="0"/>
              </w:rPr>
              <w:t xml:space="preserve">,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- 16.11.2021.)</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2021.gada 8.jūnijā stājās spēkā grozījumi Komercdarbības atbalsta kontroles likumā, lūdzam papildināt noteikumu projektu ar  grozījumiem MK noteikumu 28.punktā vārdus “</w:t>
            </w:r>
            <w:r w:rsidR="00000000" w:rsidRPr="00000000" w:rsidDel="00000000">
              <w:rPr>
                <w:i w:val="1"/>
                <w:rtl w:val="0"/>
              </w:rPr>
              <w:t xml:space="preserve">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w:t>
            </w:r>
            <w:r w:rsidR="00000000" w:rsidRPr="00000000" w:rsidDel="00000000">
              <w:rPr>
                <w:rtl w:val="0"/>
              </w:rPr>
              <w:t xml:space="preserve">” aizstāt ar vārdiem, piemēram, šādā redakcijā: "</w:t>
            </w:r>
            <w:r w:rsidR="00000000" w:rsidRPr="00000000" w:rsidDel="00000000">
              <w:rPr>
                <w:i w:val="1"/>
                <w:rtl w:val="0"/>
              </w:rPr>
              <w:t xml:space="preserve">no līdzekļiem, kas brīvi no valsts atbalsta, saskaņā ar Komercdarbības atbalsta kontroles likuma IV vai V nodaļu.</w:t>
            </w:r>
            <w:r w:rsidR="00000000" w:rsidRPr="00000000" w:rsidDel="00000000">
              <w:rPr>
                <w:rtl w:val="0"/>
              </w:rPr>
              <w:t xml:space="preserve">"</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 Ja ir pārkāptas Komisijas regulas Nr. 1407/2013 prasības, atbalsta saņēmējam ir pienākums atmaksāt sabiedrībai "Altum" visu projekta ietvaros saņemto valsts atbalstu kopā ar procentiem no līdzekļiem, kas brīvi no valsts atbalsta, saskaņā ar Komercdarbības atbalsta kontroles likuma IV vai V nodaļu.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 Lēmumu par </w:t>
            </w:r>
            <w:r w:rsidR="00000000" w:rsidRPr="00000000" w:rsidDel="00000000">
              <w:rPr>
                <w:i w:val="1"/>
                <w:rtl w:val="0"/>
              </w:rPr>
              <w:t xml:space="preserve">de minimis</w:t>
            </w:r>
            <w:r w:rsidR="00000000" w:rsidRPr="00000000" w:rsidDel="00000000">
              <w:rPr>
                <w:rtl w:val="0"/>
              </w:rPr>
              <w:t xml:space="preserve"> atbalsta piešķiršanu atbilstoši šo noteikumu 23. punktam var pieņemt līdz Komisijas regulas Nr. 1407/2013 7. panta 4. punktā un 8. pantā noteiktajam termiņam.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- 07.04.2022.)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ka nosacījums par lēmuma par de minims atbalsta piešķiršanu ir noteikts šo noteikumu 22.punktā, lūdzam atbilstoši precizēt atsauci uz šo noteikumu 22.punktu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Precizēts Noteikumu projekts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40. Lēmumu par </w:t>
            </w:r>
            <w:r w:rsidR="00000000" w:rsidRPr="00000000" w:rsidDel="00000000">
              <w:rPr>
                <w:i w:val="1"/>
                <w:rtl w:val="0"/>
              </w:rPr>
              <w:t xml:space="preserve">de minimis</w:t>
            </w:r>
            <w:r w:rsidR="00000000" w:rsidRPr="00000000" w:rsidDel="00000000">
              <w:rPr>
                <w:rtl w:val="0"/>
              </w:rPr>
              <w:t xml:space="preserve"> atbalsta piešķiršanu atbilstoši šo noteikumu 22. punktam var pieņemt līdz Komisijas regulas Nr. 1407/2013 7. panta 4. punktā un 8. pantā noteiktajam termiņam.</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21-TA-601</w:t>
    </w:r>
    <w:r>
      <w:br/>
    </w:r>
    <w:r w:rsidR="00000000" w:rsidRPr="00000000" w:rsidDel="00000000">
      <w:rPr>
        <w:rtl w:val="0"/>
      </w:rPr>
      <w:t xml:space="preserve">27.05.2022. 12.07</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21-TA-601</w:t>
    </w:r>
    <w:r>
      <w:br/>
    </w:r>
    <w:r w:rsidR="00000000" w:rsidRPr="00000000" w:rsidDel="00000000">
      <w:rPr>
        <w:rtl w:val="0"/>
      </w:rPr>
      <w:t xml:space="preserve">27.05.2022. 12.07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Izziņa_21-TA-601.docx</dc:title>
</cp:coreProperties>
</file>

<file path=docProps/custom.xml><?xml version="1.0" encoding="utf-8"?>
<Properties xmlns="http://schemas.openxmlformats.org/officeDocument/2006/custom-properties" xmlns:vt="http://schemas.openxmlformats.org/officeDocument/2006/docPropsVTypes"/>
</file>