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22-TA-3549: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Ražotāju organizāciju atzīšanas un atbalsta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ražotāju grupu, ražotāju organizāciju, ražotāju organizāciju apvienību un starpnozaru organizāciju (turpmāk – ražotāju organizācijas) atzīšanas kritērijus, atzīšanas un tās atsaukšanas kārtību, darbības nosacījumus un kontroles kārtību, iestādi, kas atzīst un kontrolē ražotāju organizācijas, kā arī Eiropas Savienības atbalsta piešķiršanas, administrēšanas un uzraudzības kārtību atbilstoši: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tekstā izmantot Lauksaimniecības un lauku atbalsta dienesta likumā lietoto terminu “valsts un Eiropas Savienības atbalsts” (šobrīd minēts tikai “Eiropas Savienības atbalsts”, dažviet vienkārši “atbalsts”), un, ja nepieciešams, pieteikt attiecīgu saīsinājumu (piemēram, “valsts un Eiropas Savienības atbalsts (turpmāk –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noteikumu projekta 1. punktu, lai tas atbilstu Lauksaimniecības un lauku attīstības likuma 5. panta ceturtajā un septītajā daļā ietvertajam pilnvarojumam, tika precizēts gan noteikumu projekts, lai paredzētu vienotu termina lietojumu, gan anotācija. Jāpiebilst, ka anotācijas atsevišķās vietās ir lietots termins "ES atbalsts" atbilstoši ES tiesību aktos paredzētajam.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ražotāju grupu, ražotāju organizāciju, ražotāju organizāciju apvienību un starpnozaru organizāciju (turpmāk – ražotāju organizācijas) atzīšanas kritērijus, atzīšanas un tās atsaukšanas kārtību, darbības nosacījumus un kontroles kārtību, iestādi, kas atzīst un kontrolē ražotāju organizācijas, kārtību, kādā ražotāju organizācijām piešķir valsts un Eiropas Savienības atbalstu (turpmāk – atbalsts), kā arī šī atbalsta administrēšanas un uzraudzības kārtību atbilstoši: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ražotāju grupu, ražotāju organizāciju, ražotāju organizāciju apvienību un starpnozaru organizāciju (turpmāk – ražotāju organizācijas) atzīšanas kritērijus, atzīšanas un tās atsaukšanas kārtību, darbības nosacījumus un kontroles kārtību, iestādi, kas atzīst un kontrolē ražotāju organizācijas, kā arī Eiropas Savienības atbalsta piešķiršanas, administrēšanas un uzraudzības kārtību atbilstoši: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1.punkta ievaddaļā vārdus “kā arī Eiropas Savienības atbalsta piešķiršanas, administrēšanas un uzraudzības kārtību”, piemēram, paredzot, ka noteikumi nosaka kārtību, kādā </w:t>
            </w:r>
            <w:r w:rsidR="00000000" w:rsidRPr="00000000" w:rsidDel="00000000">
              <w:rPr>
                <w:u w:val="single"/>
                <w:rtl w:val="0"/>
              </w:rPr>
              <w:t xml:space="preserve">ražotāju organizācijām</w:t>
            </w:r>
            <w:r w:rsidR="00000000" w:rsidRPr="00000000" w:rsidDel="00000000">
              <w:rPr>
                <w:rtl w:val="0"/>
              </w:rPr>
              <w:t xml:space="preserve"> piešķir valsts un Eiropas Savienības atbalstu, kā arī šī atbalsta administrēšanas un uzraudzības kārtību. Vēršam uzmanību, ka Lauksaimniecības un lauku attīstības likuma 5. panta ceturtajā un septītajā daļā ietvertais pilnvarojums ir plašāks, nekā atspoguļots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1. punkts, lai tas atbilstu Lauksaimniecības un lauku attīstības likuma 5. panta ceturtajā un septītajā daļā ietvertajam pilnvarojumam, kā arī precizēta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53. pants dod iespēju paredzēt valsts atbalstu atzītām augļu un dārzeņu ražotāju organizācijām (turpmāk – RO), ja to pašorganizācijas pakāpe ir ievērojami zemāka par Eiropas Savienības (turpmāk – ES) vidējo rādītāju. Regulas 2021/2115 53. panta 2. punkts noteic, ka RO pakāpe kādā dalībvalsts reģionā ir ievērojami zemāka par ES vidējo rādītāju tad, ja vidējā pašorganizācijas pakāpe trijos secīgos gados pirms darbības programmas īstenošanas ir bijusi zemāka par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augļu un dārzeņu nozares pašorganizācijas pakāpe ir virs ES vidējā rādītāja, 2021. gadā sasniedzot 41,9 %. Tādējādi, lai gan ES tiesību akti dod iespēju piešķirt arī valsts atbalstu, Latvijai pašlaik nav iespējas atvēlēt valsts atbalstu atzītām augļu un dārzeņu RO saskaņā ar regulas 2021/2115 53.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ražotāju grupu, ražotāju organizāciju, ražotāju organizāciju apvienību un starpnozaru organizāciju (turpmāk – ražotāju organizācijas) atzīšanas kritērijus, atzīšanas un tās atsaukšanas kārtību, darbības nosacījumus un kontroles kārtību, iestādi, kas atzīst un kontrolē ražotāju organizācijas, kārtību, kādā ražotāju organizācijām piešķir valsts un Eiropas Savienības atbalstu (turpmāk – atbalsts), kā arī šī atbalsta administrēšanas un uzraudzības kārtību atbilstoši: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regulas Nr. 1308/2013 154. panta "b" apakšpunktu un 161. panta  1. punkta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regulas vienību, piemēram, 154.panta </w:t>
            </w:r>
            <w:r w:rsidR="00000000" w:rsidRPr="00000000" w:rsidDel="00000000">
              <w:rPr>
                <w:u w:val="single"/>
                <w:rtl w:val="0"/>
              </w:rPr>
              <w:t xml:space="preserve">1.punkta</w:t>
            </w:r>
            <w:r w:rsidR="00000000" w:rsidRPr="00000000" w:rsidDel="00000000">
              <w:rPr>
                <w:rtl w:val="0"/>
              </w:rPr>
              <w:t xml:space="preserve"> “b”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(pēc precizējumu izdarīšanas 9. punkts) ir precizēta atsauce uz regulas vienību, t.i., atsauce uz regulas Nr. 1308/2013 154. panta 1. punkta “b” 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regulas Nr. </w:t>
            </w:r>
            <w:r w:rsidR="00000000" w:rsidRPr="00000000" w:rsidDel="00000000">
              <w:rPr>
                <w:rtl w:val="0"/>
              </w:rPr>
              <w:t xml:space="preserve">1308/2013</w:t>
            </w:r>
            <w:r w:rsidR="00000000" w:rsidRPr="00000000" w:rsidDel="00000000">
              <w:rPr>
                <w:rtl w:val="0"/>
              </w:rPr>
              <w:t xml:space="preserve"> 154. panta 1. punkta "b" apakšpunktu un 161. panta  1. punkta "b"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Ražotāju organizācijas biedrs par izstāšanos no ražotāju organizācijas par to informē rakstiski vismaz sešus mēnešus iepriekš. Lēmums par izstāšanos stājas spēkā ražotāju organizācijas statūtos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vai svītrot noteikumu projekta 9.punkta otro teikumu, tai skaitā, kāda ir minētā lēmuma juridiskā daba (piemēram, vai ražotāja paziņojums uzskatāms par lēmumu, vai arī papildus nepieciešams arī ražotāju organizācijas institūcijas lēmums). Vēršam uzmanību, ka no šīs normas pirmā teikuma var secināt, ka ražotāju organizācijas biedrs informē ražotāju organizāciju par izstāšanos no ražotāju organizācijas, un šāda izstāšanās var notikt ne ātrāk, kā sešus mēnešus pēc paziņojuma iesniegšanas brīža. Nav skaidra nepieciešamība papildus regulēt šāda paziņojuma (lēmuma) spēkā stāšanās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šobrīd noteikumu projekta 9.punktā paredzētais regulējums saturiski iekļaujams noteikumu projekta II nodaļā “Ražotāju organizācijas atzīšanas kritēriji un atzīšanas kārtība”. Proti, nav skaidrs, kāda ietekme ir 9.punktā minētajam regulējumam uz ražotāju organizācijas atzīšanu, piemēram, vai tas uzskatāms par atzīšanas kritēriju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gan noteikumu projekta 9. punkta (pēc precizējumu izdarīšanas 13. punkts) otrais teikums,  gan anotācijā. Minimālais biedru skaits ir viens no būtiskiem RO atzīšanas kritērijiem. Lauksaimnieku organizāciju pārstāvji ir arī norādījuši uz to, ka ir problemātiski ievērot atzīšanas kritērijus, ja RO ir apvienojies minimālais biedru skaits un kāds biedrs no RO izstājas. ES regulējums neparedz atkāpes attiecībā uz RO atzīšanas kritēriju neievērošanu, tāpēc ir jāparedz pietiekams laiks, lai RO varētu nodrošināt attiecīgu minimālo biedru skaitu un atbilst RO atzīšanas kritērijiem. Turklāt Komisijas 2017. gada 13. marta Deleģētās regulas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 (turpmāk – regula 2017/891) 6. panta 2. punkts noteic, ka dalībvalstij ir jānosaka ne vairāk kā 6 mēnešus ilgs paziņošanas termiņš augļu un dārzeņu RO par atteikšanos no biedra statusa, kā arī datums, kurā stājas spēkā atteikšanās no biedra statusa. Tā kā statūti ir būtiska RO atzīšanas sastāvdaļa, tajos RO ir tiesības noteikt kārtību un termiņu, kādā RO pieņem lēmumu par biedra izstāšanos no RO. Tāda pati pieeja būtu jāattiecina uz citu nozaru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minimālais biedru skaits ir viens no būtiskiem RO atzīšanas kritērijiem, noteikumu projekta 13. punktā paredzētais regulējums saturiski iekļaujams noteikumu projekta II nodaļā “Ražotāju organizācijas atzīšanas kritēriji, atzīšanas un tās atsaukšanas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regulas </w:t>
            </w:r>
            <w:r w:rsidR="00000000" w:rsidRPr="00000000" w:rsidDel="00000000">
              <w:rPr>
                <w:rtl w:val="0"/>
              </w:rPr>
              <w:t xml:space="preserve">2017/891</w:t>
            </w:r>
            <w:r w:rsidR="00000000" w:rsidRPr="00000000" w:rsidDel="00000000">
              <w:rPr>
                <w:rtl w:val="0"/>
              </w:rPr>
              <w:t xml:space="preserve"> 6. pantu, ražotāju organizācijas biedrs par izstāšanos no ražotāju organizācijas informē sešus mēnešus pirms izstāšanās. Ražotāju organizācija pieņem lēmumu par biedra izstāšanos no ražotāju organizācijas tās statūtos noteiktajā kārtībā un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Dienests izvērtē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minētos dokumentus un ražotāju organizācijas atbilstību šo noteikumu II nodaļā minētajām prasībām un regulas Nr. 1308/2013 154. panta 4. punkta "a" apakšpunktā un 161. panta 3. punkta "a" apakšpunktā noteiktajā termiņā pieņem vienu no šādiem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regulas Nr. 1308/2013 154. panta 4. punkta "a" apakšpunktā un 161. panta 3. punkta "a" apakšpunktā minēto termiņu ar atsauci uz </w:t>
            </w:r>
            <w:r w:rsidR="00000000" w:rsidRPr="00000000" w:rsidDel="00000000">
              <w:rPr>
                <w:u w:val="single"/>
                <w:rtl w:val="0"/>
              </w:rPr>
              <w:t xml:space="preserve">Lauksaimniecības un lauku attīstības likuma 9. panta otrajā daļā minēto termiņu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(pēc precizējumu izdarīšanas 17. punkts) atsauce uz regulas Nr. 1308/2013 154. panta 4. punkta "a" apakšpunktā un 161. panta 3. punkta "a" apakšpunktā minēto termiņu aizstāta ar atsauci uz Lauksaimniecības un lauku attīstības likuma 9. panta otrajā daļā minēto termiņu, kā arī 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izvērtē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punktā minētos dokumentus un ražotāju organizācijas atbilstību šo noteikumu II nodaļā minētajām prasībām un </w:t>
            </w:r>
            <w:r w:rsidR="00000000" w:rsidRPr="00000000" w:rsidDel="00000000">
              <w:rPr>
                <w:rtl w:val="0"/>
              </w:rPr>
              <w:t xml:space="preserve">Lauksaimniecības un lauku attīstības likuma</w:t>
            </w:r>
            <w:r w:rsidR="00000000" w:rsidRPr="00000000" w:rsidDel="00000000">
              <w:rPr>
                <w:rtl w:val="0"/>
              </w:rPr>
              <w:t xml:space="preserve"> 9. panta otrajā daļā noteiktajā termiņā pieņem vienu no šādiem lēmumiem: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Ievērojot regulas 2021/2016 59. pantu, kā arī regulas Nr. 1308/2013 154. panta 4. punkta "b" apakšpunktu un 161. panta 3. punkta "b" apakšpunktu dienests vienu reizi gadā pārbauda atzītas ražotāju organizācijas atbilstību šo noteikumu II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14.- 18.punktā paredzētais regulējums saturiski iekļaujams noteikumu projekta II nodaļā “Ražotāju organizācijas atzīšanas kritēriji un atzīšanas kārtība”. Vēršam uzmanību, ka noteikumu projekta 14.- 18.punkts regulē ražotāju organizācijas uzraudzību pēc tās atzīšanas, un atzīšanas atsaukšanu neatbilstību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izvērtēt arī citas noteikumu projekta II nodaļā minētās normas, un, ja nepieciešams, precizēt noteikumu projektu (piemēram, veidot jaunas nodaļas), nodrošinot, ka noteikumu projekta II nodaļā tiek iekļauti tieši tie kritēriji un regulējums, kas piemērojams, lai Lauju atbalsta dienests varētu pieņemt lēmumu par ražošanas organizācijas atzīšanu.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14.–18. punktā (pēc precizējumu izdarīšanas 18.–21. punktā) ietverto regulējumu, kā arī citas II nodaļā minētās normas, tika secināts, ka tās saturiski attiecas uz RO atzīšanas kritērijiem un atzīšanas vai tās atsaukšanas kārtību, tāpēc tika precīzāk izteikts noteikumu projekta II nodaļas virsraksts "Ražotāju organizācijas atzīšanas kritēriji, atzīšanas un tās atsaukšanas kārtība”, kā arī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ir iekļauti tikai tie kritēriji un nosacījumi, kas piemērojami, lai RO iegūtu atzītas RO statusu. Turklāt jāņem vērā, ka atzītai RO ir </w:t>
            </w:r>
            <w:r w:rsidR="00000000" w:rsidRPr="00000000" w:rsidDel="00000000">
              <w:rPr>
                <w:b w:val="1"/>
                <w:rtl w:val="0"/>
              </w:rPr>
              <w:t xml:space="preserve">jāatbilst atzīšanas kritērijiem visu tās darbības laiku</w:t>
            </w:r>
            <w:r w:rsidR="00000000" w:rsidRPr="00000000" w:rsidDel="00000000">
              <w:rPr>
                <w:rtl w:val="0"/>
              </w:rPr>
              <w:t xml:space="preserve">. Tādējādi Lauku atbalsta dienestam (turpmāk – LAD) vienu reizi gadā ir jāpārbauda, vai atzīta RO atbilst regulas Nr. 1308/2013 un MK noteikumu projekta II nodaļā minētajiem nosacījumiem, tāpēc noteikumu projekta 18. punkts paredz, ka </w:t>
            </w:r>
            <w:r w:rsidR="00000000" w:rsidRPr="00000000" w:rsidDel="00000000">
              <w:rPr>
                <w:u w:val="single"/>
                <w:rtl w:val="0"/>
              </w:rPr>
              <w:t xml:space="preserve">RO atbilstības izvērtēšanasaskaņā ar kritērijiem notiks katru gadu, kā tas noteikts ES tiesību aktos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atzītas RO statusu, RO ir jābūt statūtiem, kas sagatavoti saskaņā ar Eiropas Parlamenta un Padomes 2013. gada 17. decembra Regulas (ES) Nr. 1308/2013, ar ko izveido lauksaimniecības produktu tirgu kopīgu organizāciju un atceļ Padomes Regulas (EEK) Nr. 922/72, (EEK) Nr. 234/79, (EK) Nr. 1037/2001 un (EK) Nr. 1234/2007, (turpmāk – regula Nr. 1308/2013) 153. pantu. Kā jau anotācijā tika skaidrots, </w:t>
            </w:r>
            <w:r w:rsidR="00000000" w:rsidRPr="00000000" w:rsidDel="00000000">
              <w:rPr>
                <w:b w:val="1"/>
                <w:rtl w:val="0"/>
              </w:rPr>
              <w:t xml:space="preserve">viens no būtiskiem RO atzīšanas kritērijiem ir RO atrašanās to biedru kontrolē un RO demokrātiska uzraudzība</w:t>
            </w:r>
            <w:r w:rsidR="00000000" w:rsidRPr="00000000" w:rsidDel="00000000">
              <w:rPr>
                <w:rtl w:val="0"/>
              </w:rPr>
              <w:t xml:space="preserve">. Regulas Nr. 1308/2013 153. panta 2. punkta "c" apakšpunkts noteic, ka RO statūtos jāparedz noteikumi, kas ļauj tās biedriem ražotājiem demokrātiski uzraudzīt savu RO un tās lēmumus, kā arī tās kontus un budžetu. Kā jau anotācijā minēts, tika noskaidrota citu dalībvalstu pieredze par iepriekšminēto nosacījumu ieviešanu nacionālajos normatīvajos aktos. Diskusijās ar lauksaimnieku organizāciju pārstāvjiem tika izstrādāti nosacījumi RO demokrātiskai uzraudzībai. Turklāt LAD ir jāpārliecinās, kā RO tiek īstenota demokrātiskā uzraudzība, jo tas ir viens no nosacījumiem, lai RO atbilstu atzītas RO statusam. Tādējādi MK noteikumu projekta 19. punkts paredz, ka LAD pārbaudīs, vai RO darbība un darījumi starp RO un tās biedriem attiecībā uz darbības programmu un darbības fondu atbilst tās statūtiem. Piemēram, attiecībā uz sanāksmju norises vietu, laiks un darba kārtības izsludināšanu, vai ir kvalificēts balsu vairākums, sanāksmju protokolos atspoguļota sanāksmju norise un RO biedru paustie viedokļi, kā notiek lēmumu pieņemšana un RO biedru balsojums par darba kārtībā ietvertajiem  jautājumiem, biedru izslēgšana vai jaunu biedru uzņemšana. </w:t>
            </w:r>
            <w:r w:rsidR="00000000" w:rsidRPr="00000000" w:rsidDel="00000000">
              <w:rPr>
                <w:u w:val="single"/>
                <w:rtl w:val="0"/>
              </w:rPr>
              <w:t xml:space="preserve">Būtiska ir tieši demokrātiskās uzraudzības īstenošana, un, ja RO to īsteno, tad tā atbilst vienam no RO atzīšanas kritērijiem.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ir jāparedz, kā rīkoties LAD,</w:t>
            </w:r>
            <w:r w:rsidR="00000000" w:rsidRPr="00000000" w:rsidDel="00000000">
              <w:rPr>
                <w:b w:val="1"/>
                <w:rtl w:val="0"/>
              </w:rPr>
              <w:t xml:space="preserve"> ja tiek konstatētas neatbilstības noteikumu projekta II nodaļai</w:t>
            </w:r>
            <w:r w:rsidR="00000000" w:rsidRPr="00000000" w:rsidDel="00000000">
              <w:rPr>
                <w:rtl w:val="0"/>
              </w:rPr>
              <w:t xml:space="preserve">, t.i., RO neatbilst kādam no atzīšanas kritērijiem. Kā skaidrots anotācijā, noteikumu projekta 20., 21. un 22. punkts noteic kārtību, kādā atzīta RO novērš konstatētās neatbilstības, ja LAD savās pārbaudēs konstatē atzītas RO neatbilstību regulas Nr. 1308/2013 un noteikumu projekta II nodaļas nosacījumiem. LAD ir tiesības atsaukt RO atzīšanu, ja LAD konstatētās neatbilstības netiek novērstas.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RO atzīšanas kritērijiem ir </w:t>
            </w:r>
            <w:r w:rsidR="00000000" w:rsidRPr="00000000" w:rsidDel="00000000">
              <w:rPr>
                <w:b w:val="1"/>
                <w:rtl w:val="0"/>
              </w:rPr>
              <w:t xml:space="preserve">minimālās pārdodamās produkcijas vērtība vai apjoms, kuru saražojuši RO biedri</w:t>
            </w:r>
            <w:r w:rsidR="00000000" w:rsidRPr="00000000" w:rsidDel="00000000">
              <w:rPr>
                <w:rtl w:val="0"/>
              </w:rPr>
              <w:t xml:space="preserve">. Kā jau anotācijā ir skaidrots, atzīta RO savus saražotos produktus var arī pārstrādāt un virzīt tirgū jau ar lielāku pievienoto vērtību, bet saskaņā ar ES tiesību aktiem minimālajā pārdodamās produkcijas vērtībā iekļaujama tikai primāro produktu vērtība (RO biedri ir ražotāji, kas ražo primāros produktus). Tādējādi noteikumu projekta II nodaļas 24.–34. punktā papildus minimālai produkcijas vērtībai ir noteikta kārtība, kādā tiek aprēķināta pārdodamās produkcijas vērtība vai apjoms produkcijai, kas tiek tirgota pēc tālākas pārstrādes. Tas dod iespēju aprēķināt arī pārdodamās pārstrādātas lauksaimniecības produkcijas vērtību un precīzi noteikt atzīto produktu vērtību vai apjomu, lai varētu noteikt noteikumu projekta 9.2. apakšpunktā minēto RO atzīšanas kritēriju par minimālās pārdodamās produkcijas vērtību vai apjomu, kuru saražojuši RO biedri. Minimālās produkcijas vērtības vai apjoma aprēķināšanas kārtība ir cieši saistīta ar RO atzīšanas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normām attiecībā uz pārdodamās produkcijas vērtības vai apjoma aprēķināšanu, RO iesniedzamo informāciju un PVD veicamajām pārbaudēm ir jāpaliek noteikumu projekta II nodaļā, jo tā tiešā veidā attiecas uz RO atzīšanu, tāpēc ka viens no atzīšanas kritērijiem ir minimālā pārdodamās produkcijas vērtība vai apjoms. Kopumā var secināt, RO, pat ja tā iegūst atzītas RO statusu, nav atbrīvota no atzīšanas kritēriju ievērošanas arī turpmāk. Turklāt atbilstība atzīšanas kritērijiem ir nosacījums, lai atzīta RO varētu gūt labumu un saņemt atbalstu savu DP īstenošanai. Tādējādi tika paplašināts noteikumu projekta II nodaļas virsraksts.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Ievērojot regulas </w:t>
            </w:r>
            <w:r w:rsidR="00000000" w:rsidRPr="00000000" w:rsidDel="00000000">
              <w:rPr>
                <w:rtl w:val="0"/>
              </w:rPr>
              <w:t xml:space="preserve">2021/2116</w:t>
            </w:r>
            <w:r w:rsidR="00000000" w:rsidRPr="00000000" w:rsidDel="00000000">
              <w:rPr>
                <w:rtl w:val="0"/>
              </w:rPr>
              <w:t xml:space="preserve"> 59. pantu, kā arī regulas Nr. </w:t>
            </w:r>
            <w:r w:rsidR="00000000" w:rsidRPr="00000000" w:rsidDel="00000000">
              <w:rPr>
                <w:rtl w:val="0"/>
              </w:rPr>
              <w:t xml:space="preserve">1308/2013</w:t>
            </w:r>
            <w:r w:rsidR="00000000" w:rsidRPr="00000000" w:rsidDel="00000000">
              <w:rPr>
                <w:rtl w:val="0"/>
              </w:rPr>
              <w:t xml:space="preserve"> 154. panta 4. punkta "b" apakšpunktu un 161. panta 3. punkta "b" apakšpunktu, dienests vienu reizi gadā pārbauda atzītas ražotāju organizācijas atbilstību šo noteikumu II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darbības programmas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norādot, ka darbības programmas grozījumus iesniedz, ja tādi ir nepieciešami, vai arī norādīt obligāto gadskārtējo grozījumu būtību. Vēršam uzmanību, ka no normas pašreizējās redakcijas izriet, ka ražotāju organizācijai obligāti katru gadu jāgroza darbības programma, bet nav skaidrota šādu grozījumu nepieciešamība un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43.2.apakšpunkts daļēji dublē noteikumu projekta 52.punktā iekļauto regulējumu. Tāpat nepieciešams saskaņot noteikumu projekta 43.2.apakšpunktu arī ar citām noteikumu projekta normām, kurās regulēts darbības programmas grozījumu iesniegšanas termiņš (piemēram, noteikumu projekta 131.punktu).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43.2. apakšpunkts (pēc projekta precizēšanas 41.2. apakšpunkts) precizēts, norādot, ka darbības programmas grozījumus iesniedz, ja tādi ir nepieciešami. Grozījumus darbības programmā RO izdara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paredz to, cik bieži viena gada laikā RO var iesniegt grozījumus. Šāda norma ir būtiska, jo līdzšinējā pieredze ar augļu un dārzeņu RO liecina, ka RO viena kalendārā gada laikā vēlas izdarīt vairākus grozījumus gan attiecībā uz konkrētā gada darbības programmu, gan uz nākamā gada darbības programmu. Paredzot, ka viena kalendārā gada laikā RO ir tiesības izdarīt grozījumus gan attiecīgā gada, gan nākamā gada darbības programmā ne vairāk kā divas reizes, tiek nodrošināts gan paredzamāks administrēšanas process, gan RO darbības programmu konsekventa īstenošana un sekmēta efektīva sasniedzamo rezultātu īstenošana, gan novērsta darbības programmu sākotnējā izstrādē neizvērtētu intervenču iekļaušana. Lai novērstu dublēšanos ar noteikumu projekta 41.2. apakšpunktu, noteikumu projekta 50. punkta otrā daļa tiek svītrota. Papildus izdarīti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131. punkts attiecas uz tām augļu un dārzeņu RO, kuras ir atzītas un kuras darbības programmas apstiprinātas līdz 2022. gada 31. decembrim. Kā jau ir skaidrots anotācijā, atbilstoši ES regulējumam attiecībā uz šīm RO ir paredzēti atšķirīgi darbības nosacījumi, atbalsta piešķiršanas, administrēšanas un uzraudzības kārtība, kas ietverta noteikumu projekta V nodaļā. Noteikumu projekta V nodaļa attiecas uz šādām atzītām augļu un dārzeņu RO, un noteikumu skaidrākas uztveramības nolūkā noteikumu projekta V nodaļā ir ietvertas atsevišķas normas, kas var daļēji dublēt noteikumu projekta citās nodaļās esošās normas.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darbības programmas grozījumus, ja tādi ir nepieciešami.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Ražotāju organizācijas saskaņā ar regulas 2021/2115 49. un 66. pantu tiecas sasniegt vienu vai vairākus regulas 2021/2115 46. panta "a" līdz "i" un "k" punktā minētos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45.punkta piemērošanas kārtību, piemēram, vai minētie mērķi norādāmi ražotāju organizācijas statūtos vai darbības programmā, vai citā dokumentā. Nepieciešamības gadījumā lūdzam precizēt noteikumu projekta 45.punktu.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apsvērt noteikumu projekta 45.punkta nepieciešamību vispār, ņemot vērā gan to, ka darbības programmas un citu dokumentu obligātais saturs jau izsmeļoši regulēts noteikumu projektā, kā arī ņemot vērā to, ka regulu normu dublēšana nacionālajos normatīvajos aktos nav atbalstāma, ja vien tas nav absolūti nepieciešams, lai panāktu skaidru un saskaņotu normatīvā akta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45. punkts (pēc noteikumu precizēšanas 43. punkts), nosakot, ka izvēlētos mērķus RO norāda tās darbības programmā. Kā jau anotācijā skaidrots, regulas 2021/2115 46. pantā izklāstītos mērķus var sasniegt ar atzītu RO darbības programmu palīdzību. Tādējādi noteikumu projekta 43. punkts noteic pienākumu RO sasniegt vienu vai vairākus regulas 2021/2115 46. panta "a" līdz "i" un "k" punktā minētos mērķus. Savukārt atzīta RO, sagatavojot darbības programmu saskaņā ar noteikumu projekta 4. pielikumu, norāda arī sasniedzamos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noteikumu projekta 43. punkta nepieciešamība, jo saskaņā ar regulas 2022/2115 50. panta 1. punktu Latvija ir izvēlējusies visus mērķus, izņemot mērķi “j”, tāpēc noteikuma projekta 43. punktā minēti Latvijas izvēlētie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punktā ir norādīti ne visi regulas 2021/2115 46. pantā minētie mērķi, t.i., tikai “a” līdz “i” un “k” punktā minētie mērķi, jo tie atbilst Latvijas Kopējās Lauksaimniecības politikas Stratēģiskajam plānam (turpmāk – KLP SP). Latvija savā KLP SP ir izvēlējusies konkrētas intervences, kas ir vērstas uz regulas 2021/2115 46. pantā ietverto mērķu sasniegšanu. Ņemot vērā līdzšinējo augļu un dārzeņu RO darbību un to izstrādātās darbības programmas, kā arī lai ierobežotos resursus koncentrētu prioritāro RO intervenču īstenošanai, no intervenču saraksta tika svītrotas krīžu novēršanas un riska pārvaldības intervences un līdz ar to arī mērķis, kas vērsts uz krīžu novēršanu un risku pārvaldību (regulas 2021/2115 46. panta “j”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Ražotāju organizācijas saskaņā ar regulas </w:t>
            </w:r>
            <w:r w:rsidR="00000000" w:rsidRPr="00000000" w:rsidDel="00000000">
              <w:rPr>
                <w:rtl w:val="0"/>
              </w:rPr>
              <w:t xml:space="preserve">2021/2115</w:t>
            </w:r>
            <w:r w:rsidR="00000000" w:rsidRPr="00000000" w:rsidDel="00000000">
              <w:rPr>
                <w:rtl w:val="0"/>
              </w:rPr>
              <w:t xml:space="preserve"> 49. un 66. pantu tiecas sasniegt vienu vai vairākus regulas </w:t>
            </w:r>
            <w:r w:rsidR="00000000" w:rsidRPr="00000000" w:rsidDel="00000000">
              <w:rPr>
                <w:rtl w:val="0"/>
              </w:rPr>
              <w:t xml:space="preserve">2021/2115</w:t>
            </w:r>
            <w:r w:rsidR="00000000" w:rsidRPr="00000000" w:rsidDel="00000000">
              <w:rPr>
                <w:rtl w:val="0"/>
              </w:rPr>
              <w:t xml:space="preserve"> 46. panta "a" līdz "i" un "k" punktā minētos mērķus, norādot izvēlētos mērķus savā darbības programmā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Dienests lēmumu par šo noteikumu </w:t>
            </w:r>
            <w:r w:rsidR="00000000" w:rsidRPr="00000000" w:rsidDel="00000000">
              <w:rPr>
                <w:rtl w:val="0"/>
              </w:rPr>
              <w:t xml:space="preserve">51.</w:t>
            </w:r>
            <w:r w:rsidR="00000000" w:rsidRPr="00000000" w:rsidDel="00000000">
              <w:rPr>
                <w:rtl w:val="0"/>
              </w:rPr>
              <w:t xml:space="preserve"> punktā minēto iesniegumu pieņem trīs mēnešu laikā no tā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noteikumu projekta 55.punktā minēto lēmuma pieņemšanas termiņu – trīs mēnešu laikā no iesnieguma saņemšanas brīža – un nepieciešamības gadījumā svītrot noteikumu projekta 55.punktu, ievērojot, ka šāda lēmuma pieņemšanā piemērojama vispārējā administratīvā procesa kārtība un termiņi. Vēršam uzmanību, ka saskaņā ar Administratīvā procesa likuma 64.panta pirmo daļu, ja administratīvā lieta ierosināta uz iesnieguma pamata, iestāde pieņem lēmumu par administratīvā akta izdošanu viena mēneša laikā no iesnieguma saņemšanas dienas, ja </w:t>
            </w:r>
            <w:r w:rsidR="00000000" w:rsidRPr="00000000" w:rsidDel="00000000">
              <w:rPr>
                <w:u w:val="single"/>
                <w:rtl w:val="0"/>
              </w:rPr>
              <w:t xml:space="preserve">likumā </w:t>
            </w:r>
            <w:r w:rsidR="00000000" w:rsidRPr="00000000" w:rsidDel="00000000">
              <w:rPr>
                <w:rtl w:val="0"/>
              </w:rPr>
              <w:t xml:space="preserve">nav noteikts cits termiņš vai citā normatīvajā aktā — īsāks termiņš administratīvā akta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svītrots nosacījums, ka LAD lēmumu par šo noteikumu projekta 51. punktā minēto iesniegumu pieņem trīs mēnešu laikā no tā saņemšanas brīža. Papildināts noteikumu projekta 51. punkts, nosakot, ka LAD izskata iesniegumu par darbības programmas grozījumiem, veic pārbaudes un pieņem lēmumu Administratīvā procesa likuma noteiktajā kārtībā un termiņā. Attiecīgi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Augļu un dārzeņu nozares ražotāju organizācijas biedri pašu saražotos attiecināmos produktus ir tiesīgi realizēt ar ražotāju organizācijas atļauju, nepārsniedzot 25 procentus no attiecināmo produktu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noteikumu projekta 56.punktā minētie “attiecināmie produkti” un attiecīgi precizēt projektu. Vēršam uzmanību arī uz to, ka noteikumu projekta 56.punktā ietverts ražotāju saimnieciskās darbības ierobežojums, līdz ar to lūdzam skaidrot šāda ierobežojuma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produktu skaidrojums ir sniegts noteikumu projekta 25. punktā: šo noteikumu 9.2.1. apakšpunktā minētajā minimālajā pārdodamās produkcijas vērtībā augļu un dārzeņu nozarē iekļauj atzītos produktus, kā arī papildus var tikt iekļauti pārstrādāti augļu un dārzeņu produkti, kuru vērtība tiek aprēķināta, ņemot vērā regulas 2022/126 31. panta 2. punkta otrajā daļā noteiktās vienotās likmes (turpmāk visi kopā – attiecināmie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1308/2013 160. panta otrā daļa paredz, ka augļu un dārzeņu RO statūtos saviem biedriem nosaka par pienākumu visu to attiecināmo produkciju pārdot ar RO starpniecību. Tomēr regulas 2017/891 12. pants paredz atkāpes no iepriekšminētā nosacījuma, arī to, ka produkcijas procentuālā daļa, ko biedrs pārdod bez RO starpniecības, nepārsniedz 25 % no katra biedra pārdodamās produkcijas apjoma vai vērtības. Turklāt ir jānosaka, ko nozīmē regulas Nr. 2017/891 12. panta 1. punkta "a" apakšpunktā minētais patērētājs un iepriekšminētās regulas 12. panta 1. punkta "b" apakšpunktā minētais maznozīmīgais produkta apjoms. Tādējādi izdarīti precizējumi noteikumu projekta 53. punktā un attiecīgi 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Augļu un dārzeņu ražotāju organizācijas biedri pašu saražotos attiecināmos produktus ar ražotāju organizācijas atļauju ir tiesīgi realizēt atbilstoši regulas </w:t>
            </w:r>
            <w:r w:rsidR="00000000" w:rsidRPr="00000000" w:rsidDel="00000000">
              <w:rPr>
                <w:rtl w:val="0"/>
              </w:rPr>
              <w:t xml:space="preserve">2017/891</w:t>
            </w:r>
            <w:r w:rsidR="00000000" w:rsidRPr="00000000" w:rsidDel="00000000">
              <w:rPr>
                <w:rtl w:val="0"/>
              </w:rPr>
              <w:t xml:space="preserve">  12. panta 1. punktam un 2. punkta pirmajai daļai, nepārsniedzot 25 procentus no attiecināmo produktu vērtības. Regulas </w:t>
            </w:r>
            <w:r w:rsidR="00000000" w:rsidRPr="00000000" w:rsidDel="00000000">
              <w:rPr>
                <w:rtl w:val="0"/>
              </w:rPr>
              <w:t xml:space="preserve">2017/891</w:t>
            </w:r>
            <w:r w:rsidR="00000000" w:rsidRPr="00000000" w:rsidDel="00000000">
              <w:rPr>
                <w:rtl w:val="0"/>
              </w:rPr>
              <w:t xml:space="preserve"> 12. panta 1. punkta "a" apakšpunktā minētais patērētājs atbilst </w:t>
            </w:r>
            <w:r w:rsidR="00000000" w:rsidRPr="00000000" w:rsidDel="00000000">
              <w:rPr>
                <w:rtl w:val="0"/>
              </w:rPr>
              <w:t xml:space="preserve">Patērētāju tiesību aizsardzības likuma</w:t>
            </w:r>
            <w:r w:rsidR="00000000" w:rsidRPr="00000000" w:rsidDel="00000000">
              <w:rPr>
                <w:rtl w:val="0"/>
              </w:rPr>
              <w:t xml:space="preserve"> </w:t>
            </w:r>
            <w:r w:rsidR="00000000" w:rsidRPr="00000000" w:rsidDel="00000000">
              <w:rPr>
                <w:rtl w:val="0"/>
              </w:rPr>
              <w:t xml:space="preserve">1. panta 3. punktā noteiktajai patērētāja definīcijai, un regulas </w:t>
            </w:r>
            <w:r w:rsidR="00000000" w:rsidRPr="00000000" w:rsidDel="00000000">
              <w:rPr>
                <w:rtl w:val="0"/>
              </w:rPr>
              <w:t xml:space="preserve">2017/891</w:t>
            </w:r>
            <w:r w:rsidR="00000000" w:rsidRPr="00000000" w:rsidDel="00000000">
              <w:rPr>
                <w:rtl w:val="0"/>
              </w:rPr>
              <w:t xml:space="preserve"> 12. panta 1. punkta "b" apakšpunktā minētais maznozīmīgais produkta apjoms nepārsniedz 10 procentu no ražotāju organizācijas attiecināmā produkta pārdodamās produkcijas 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Ražotāju organizācija, īstenojot savas darbības programmas, ievēro regulas 2022/126 24. pantā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62.punktu un nepieciešamības gadījumā to svītrot vai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ražotāju organizācijām no regulas 2022/126 izriet arī citi pienākumi. Tāpat ražotāju organizācijām gan darbības programmu īstenošanā, gan savā darbībā vispār izriet vēl citi no noteikumu projekta 1.punktā uzskaitītajām regulām izrietoši pienākumi un sasniedzamie mērķi (piemēram, regulas 2021/2115 46., 49. un 66. pants). Līdz ar to, nosakot, ka ražotāju organizācijām ,īstenojot savas darbības programmas, ir pienākums ievērot tikai regulas 2022/126 24. pantā noteikto, rodas Eiropas Savienības tieši piemērojamo tiesību aktu neatbilstošas interpretācijas (šajā gadījumā - piemērošanas sašaurināšanas)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punkts svītrots, jo RO no regulas 2022/126 izriet arī citi pienākumi un regula ir tieši piemērojama. Attiecīgi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Saistībā ar šo noteikumu </w:t>
            </w:r>
            <w:r w:rsidR="00000000" w:rsidRPr="00000000" w:rsidDel="00000000">
              <w:rPr>
                <w:rtl w:val="0"/>
              </w:rPr>
              <w:t xml:space="preserve">64.</w:t>
            </w:r>
            <w:r w:rsidR="00000000" w:rsidRPr="00000000" w:rsidDel="00000000">
              <w:rPr>
                <w:rtl w:val="0"/>
              </w:rPr>
              <w:t xml:space="preserve"> punktā paredzēto intervenču sagatavošanu, īstenošanu vai pēcpārbaudi tiek segtas personāla, tajā skaitā nolīgta personāla, izmaksas saskaņā ar regulas 2022/126 23. panta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projektā saprotams ar “nolīgto personālu”, un attiecīgi precizēt noteikumu projekta 68.punktu. Vēršam uzmanību, ka Latvijas normatīvajos aktos šāds termins netiek lietots un tā tvērums nav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vārdi “tajā skaitā nolīgta personāla", jo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23. panta 1. punktā ir teikts, ka "šādas personāla izmaksas cita starpā ietver tāda personāla izmaksas, ar ko labumguvējs ir noslēdzis līgumu, un izmaksas, kas atbilst darba stundu īpatsvaram, kuru tā pastāvīgais personāls ieguldījis intervences pasākuma īstenošanā". Tas nozīmē, ka var tieši piemērot regulas punktu, kas ļauj segt nolīgta personāla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Saistībā ar šo noteikumu </w:t>
            </w:r>
            <w:r w:rsidR="00000000" w:rsidRPr="00000000" w:rsidDel="00000000">
              <w:rPr>
                <w:rtl w:val="0"/>
              </w:rPr>
              <w:t xml:space="preserve">61.</w:t>
            </w:r>
            <w:r w:rsidR="00000000" w:rsidRPr="00000000" w:rsidDel="00000000">
              <w:rPr>
                <w:rtl w:val="0"/>
              </w:rPr>
              <w:t xml:space="preserve"> punktā paredzēto intervenču sagatavošanu, īstenošanu vai pēcpārbaudi tiek segtas personāla izmaksas saskaņā ar regulas </w:t>
            </w:r>
            <w:r w:rsidR="00000000" w:rsidRPr="00000000" w:rsidDel="00000000">
              <w:rPr>
                <w:rtl w:val="0"/>
              </w:rPr>
              <w:t xml:space="preserve">2022/126</w:t>
            </w:r>
            <w:r w:rsidR="00000000" w:rsidRPr="00000000" w:rsidDel="00000000">
              <w:rPr>
                <w:rtl w:val="0"/>
              </w:rPr>
              <w:t xml:space="preserve"> 23. panta 1.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Šo noteikumu </w:t>
            </w:r>
            <w:r w:rsidR="00000000" w:rsidRPr="00000000" w:rsidDel="00000000">
              <w:rPr>
                <w:rtl w:val="0"/>
              </w:rPr>
              <w:t xml:space="preserve">64.1.5.</w:t>
            </w:r>
            <w:r w:rsidR="00000000" w:rsidRPr="00000000" w:rsidDel="00000000">
              <w:rPr>
                <w:rtl w:val="0"/>
              </w:rPr>
              <w:t xml:space="preserve"> apakšpunktā minētās investīcijas specializētās tehnikas, iekārtu un aprīkojuma, tajā skaitā papildaprīkojuma, iegādei nepārsniedz sabiedrības ar ierobežotu atbildību "Latvijas Lauku konsultāciju un izglītības centrs" Tehnikas un iekārtu katalogā norādītās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72.punkts kā obligāti piemērojamu nosaka privātpersonām juridiski nesaistošu dokumentu - sabiedrības ar ierobežotu atbildību "Latvijas Lauku konsultāciju un izglītības centrs" izstrādāto Tehnikas un iekārtu katalogu. Vēršam uzmanību, ka atsauču veidošana normatīvajos aktos uz šādiem privātpersonām nesaistošiem dokumentiem nav atbalstāma, līdz ar to lūdzam noteikumu projekta 72.punktu svītrot vai precizēt (piemēram, nosakot tirgus cenu ievērošanas principu un vienlaikus noteikumu projekta anotācijā skaidrojot, ka iekārtu tirgus cenu noskaidrošanai var vadīties pēc minētā Tehnikas un iekārtu kataloga).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gan noteikumu projekta 72. un 73. punkts (pēc precizējumu izdarīšanas 70. un 71. punkts), gan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jūnija ikvienam lauksaimniekam, kas gatavo projekta iesniegumu atbalsta saņemšanai tehnikas un iekārtu iegādei, ir izveidots palīgs – tehnikas un iekārtu katalogs, ko uztur un administrē sabiedrība ar ierobežotu atbildību "Latvijas Lauku konsultāciju un izglītības centrs" (turpmāk – LLKC). Šāda kataloga izmantošana ievērojami samazina administratīvo slogu specializētās tehnikas, iekārtu un aprīkojuma iegādē, turklāt process ir skaidri pārskatāms. Kārtībā, kādā administrē un uzrauga Eiropas Lauksaimniecības garantiju fondu un Eiropas Lauksaimniecības fondu lauku attīstībai, kā arī valsts un Eiropas Savienības atbalstu lauksaimniecībai un lauku attīstībai 2023.–2027. gada plānošanas periodā, ir noteikts, ka tehnikas un iekārtu cenu vērtēšanas ekspertu komisijas darbību, lai noteiktu lauksaimniecības tehnikas un iekārtu vienību izmaksu standarta likmi un to iekļautu "Tehnikas un iekārtu katalogā", ko izmanto lauksaimnieki un lauku uzņēmēji, īstenojot KLP SP intervences, nodrošina LLKC. LLKC darbība atbilst Valsts pārvaldes iekārtas likuma 88. panta pirmās daļas 1. un 2. punkta nosacījumiem, jo tas sniedz specifiskus pakalpojumus, t.i., konsultācijas un pakalpojumus lauksaimniecības nozares un lauku attīstības veicināšanai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Tehnikas un iekārtu katalogu ir izstrādājusi Zemkopības ministrija sadarbībā ar LLKC un LAD, lai atvieglotu tehnikas un iekārtu iegādi lauksaimniekiem. Katalogs ir pieejams kā elektroniskais rīks LAD tīmekļvietnē. LLKC kā neatkarīga iestāde nodrošina tehnikas cenu vērtēšanas ekspertu komisijas darbību tehnikas vienību izmaksu standarta likmes noteikšanai un tās iekļaušanai Tehnikas katalogā. Komisijas eksperti dod slēdzienu par tehnikas vienību cenu atbilstību vidējai tirgus cenai saskaņā ar vērtēšanas metodiku “Tehnikas vienību izmaksu standarta likmes noteikšana un tās iekļaušana Tehnikas katalogā”. Tehnikas kataloga ieviešanas mērķis ir atvieglot iepirkumu procesu tehnikas, iekārtu un aprīkojuma iegādei, tā veicinot efektīvāku ES finansējuma administrēšanu un vienkāršojot LAD kontroles funkcijas, kā arī samazināt administratīvo slogu pretendentiem.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projektā jānoteic, ka investīcijas specializētās tehnikas, iekārtu un aprīkojuma, tostarp papildaprīkojuma, iegādei nepārsniedz izmaksu standarta likmi, kas ir noteikta saskaņā ar kārtību, kādā administrē un uzrauga Eiropas Lauksaimniecības garantiju fondu un Eiropas Lauksaimniecības fondu lauku attīstībai, kā arī valsts un Eiropas Savienības atbalstu lauksaimniecībai un lauku attīstībai 2023.–2027.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var būt situācija, kad būves nav norādītas MK noteikumu projekta pielikumā un specializētai tehnikai, iekārtām un aprīkojumam nav noteikta iepriekšminētā izmaksu standartlikme. Šajā gadījumā attiecīgās investīcijas var īstenot saskaņā ar faktiskajām izmaksām. Regulas 2022/126 21. panta 1. punkta pirmajā daļā noteikts, ka dalībvalstis paredz atbalsta maksājumus, ko piešķir, pamatojoties uz faktiskajām izmaksām, kuras rodas labumguvējam un kuras apliecina ar dokumentiem, piemēram, rēķiniem, ko labumguvējs iesniedz saistībā ar KLP SP norādītā intervences pasākuma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61.1.</w:t>
            </w:r>
            <w:r w:rsidR="00000000" w:rsidRPr="00000000" w:rsidDel="00000000">
              <w:rPr>
                <w:rtl w:val="0"/>
              </w:rPr>
              <w:t xml:space="preserve"> apakšpunktā minētās investīcijas nepārsniedz izmaksu standarta likmi, kas ir noteikta saskaņā ar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Dienests 30 dienu laikā pēc šo noteikumu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77.</w:t>
            </w:r>
            <w:r w:rsidR="00000000" w:rsidRPr="00000000" w:rsidDel="00000000">
              <w:rPr>
                <w:rtl w:val="0"/>
              </w:rPr>
              <w:t xml:space="preserve"> punktā minēto dokumentu saņemšanas tos izskata un pieņem lēmumu par to atbilstību normatīvajos aktos par iepirkuma procedūras piemērošanu un šajos noteikumos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80.punktā minētā lēmuma būtību un juridiskās sekas ražošanas organizācijai, un nepieciešamības gadījumā precizēt noteikumu projektu. Gadījumā, ja minētais lēmums ir administratīvas akts, lūdzam svītrot atsauci uz lēmuma pieņemšanas termiņu, jo tas jau izriet no Administratīvā procesa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166.punktu.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iebildumu un svītrojot atsauci uz konkrētām dienām ir precizēts gan noteikumu projekta 80. punkts (pēc precizējumu izdarīšanas 77. punkts), gan 166. punkts (pēc precizējumu izdarīšanas 169.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skaidrības nolūkā, lai tiesību norma tās lietotājam būtu nepārprotama, ir atstāta atsauce uz Administratīvā procesa likuma kārtību un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Dienests pēc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74.</w:t>
            </w:r>
            <w:r w:rsidR="00000000" w:rsidRPr="00000000" w:rsidDel="00000000">
              <w:rPr>
                <w:rtl w:val="0"/>
              </w:rPr>
              <w:t xml:space="preserve"> punktā minēto dokumentu saņemšanas tos izskata un </w:t>
            </w:r>
            <w:r w:rsidR="00000000" w:rsidRPr="00000000" w:rsidDel="00000000">
              <w:rPr>
                <w:rtl w:val="0"/>
              </w:rPr>
              <w:t xml:space="preserve">Administratīvā procesa likumā</w:t>
            </w:r>
            <w:r w:rsidR="00000000" w:rsidRPr="00000000" w:rsidDel="00000000">
              <w:rPr>
                <w:rtl w:val="0"/>
              </w:rPr>
              <w:t xml:space="preserve"> noteiktajā kārtībā un termiņā pieņem lēmumu par to atbilstību normatīvajos aktos par iepirkuma procedūras piemērošanu un šajos noteikumos minētajām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Atbilstoši regulas 2022/126 11. panta 3. punktam saražotās enerģijas daudzums, kas iegūts enerģiju ražojošās sistēmās pēc šo noteikumu </w:t>
            </w:r>
            <w:r w:rsidR="00000000" w:rsidRPr="00000000" w:rsidDel="00000000">
              <w:rPr>
                <w:rtl w:val="0"/>
              </w:rPr>
              <w:t xml:space="preserve">64.1.</w:t>
            </w:r>
            <w:r w:rsidR="00000000" w:rsidRPr="00000000" w:rsidDel="00000000">
              <w:rPr>
                <w:rtl w:val="0"/>
              </w:rPr>
              <w:t xml:space="preserve"> apakšpunktā minētajām investīcijām, nepārsniedz enerģijas daudzumu, ko var izmantot gada laikā, veicot parastās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tiesiskās skaidrības nolūkos precizēt noteikumu projekta 83.punktu un, ja nepieciešams, 64.1.apakšpunktu, lai izvairītos no Eiropas Savienības regulas normu pārrakstīšanas vai neatbilstošas interpretācijas. Vēršam uzmanību, ka saskaņā ar noteikumu projekta 83.punktā minētās regulas 2022/126 11. panta 3. punktu, </w:t>
            </w:r>
            <w:r w:rsidR="00000000" w:rsidRPr="00000000" w:rsidDel="00000000">
              <w:rPr>
                <w:i w:val="1"/>
                <w:rtl w:val="0"/>
              </w:rPr>
              <w:t xml:space="preserve">dalībvalstis savos KLP [kopējās lauksaimniecības politikas] stratēģiskajos plānos</w:t>
            </w:r>
            <w:r w:rsidR="00000000" w:rsidRPr="00000000" w:rsidDel="00000000">
              <w:rPr>
                <w:i w:val="1"/>
                <w:u w:val="single"/>
                <w:rtl w:val="0"/>
              </w:rPr>
              <w:t xml:space="preserve"> var paredzēt atbalstu</w:t>
            </w:r>
            <w:r w:rsidR="00000000" w:rsidRPr="00000000" w:rsidDel="00000000">
              <w:rPr>
                <w:i w:val="1"/>
                <w:rtl w:val="0"/>
              </w:rPr>
              <w:t xml:space="preserve"> investīcijām materiālos aktīvos, kas ietver enerģiju ražojošas sistēmas, ja saražotās enerģijas daudzums nepārsniedz enerģijas daudzumu, ko var izmantot gada laikā, labumguvējam veicot parastās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pašreizējās 83.punkta redakcijas nav skaidra šīs normas sasaiste ar noteikumu projekta 64.1.apakšpunktu, kas uzskaita atbilstības kritērijus investīcijām materiālos un nemateriālos aktīvos, pētniecībā un eksperimentālās un inovatīvās ražošanas metodēs un citos pasākumos, proti, nav skaidrs, vai atbilstoši regulas 11.panta 3.punktam tiek paredzēts atbalstu investīcijām materiālos aktīvos, kas ietver enerģiju ražojošas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formulējums “atbilstoši  regulas 2022/126 11. panta 3. punktam” noteikumu projekta 83.punktā nav korekts, jo minētajā regulas pantā noteiktais ierobežojums attiecas tikai uz gadījumiem, ja tiek veiktas investīcijas materiālos aktīvos, kas ietver enerģiju ražojošas sistēmas, nevis uz enerģijas ražošanu ražotāju organizācijās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64.1.11.5. apakšpunkts (pēc precizējumu izdarīšanas 61.1.11.5. apakšpunkts), nosakot, ka atbalstu piešķir investīcijām energotaupības, energoefektivitātes un atjaunojamo energoresursu enerģijas izmantošanas palielināšanai, tostarp enerģiju ražojošām sistēmām. Līdz ar to precizēts noteikumu projekta 83. punkts (pēc precizējumu izdarīšanas 80. punkts), nosakot, ka “ražotāju organizācija, īstenojot šo noteikumu 61.1.11.5. apakšpunktā minētās investīcijas materiālajos aktīvos, kas ietver enerģiju ražojošās sistēmas, ievēro regulas 2022/126 11. panta 3. punkta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Ražotāju organizācija, īstenojot šo noteikumu </w:t>
            </w:r>
            <w:r w:rsidR="00000000" w:rsidRPr="00000000" w:rsidDel="00000000">
              <w:rPr>
                <w:rtl w:val="0"/>
              </w:rPr>
              <w:t xml:space="preserve">61.1.11.5.</w:t>
            </w:r>
            <w:r w:rsidR="00000000" w:rsidRPr="00000000" w:rsidDel="00000000">
              <w:rPr>
                <w:rtl w:val="0"/>
              </w:rPr>
              <w:t xml:space="preserve"> apakšpunktā minētās investīcijas materiālajos aktīvos, kas ietver enerģiju ražojošās sistēmas, ievēro regulas </w:t>
            </w:r>
            <w:r w:rsidR="00000000" w:rsidRPr="00000000" w:rsidDel="00000000">
              <w:rPr>
                <w:rtl w:val="0"/>
              </w:rPr>
              <w:t xml:space="preserve">2022/126</w:t>
            </w:r>
            <w:r w:rsidR="00000000" w:rsidRPr="00000000" w:rsidDel="00000000">
              <w:rPr>
                <w:rtl w:val="0"/>
              </w:rPr>
              <w:t xml:space="preserve"> 11. panta 3.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Regulas 2022/126 11. panta 9. punkta pirmās un trešās daļas minētajos gadījumos ražotāju organizācija atmaksā saņemto Eiropas Savienības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Eiropas Savienības atbalsta atgriešanas pienākums attiecas tikai uz regulas 2022/126 11. panta 9. punkta pirmās un trešās daļas minētajām situācijām, t.i., vai nav iespējamas arī citas situācijas, kad nepieciešams atgūt neatbilstoši vai nelikumīgi piešķirtu vai izmantotu valsts atbalstu. Nepieciešamības gadījumā lūdzam precizēt noteikumu projekta 87.punktu, lai novērstu iespējamu Eiropas Savienības tiesību aktu valsts atbalsta jomā piemērošanas sašaurināšanu.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Savienības regulu normas ir tieši piemērojamas, un to saistošās prasības nav atļauts pārrakstīt (dublēt) nacionālajos tiesību aktos, izņemot īpašus, gadījumus, kad regulu normu pārrakstīšana ir nepieciešama ar mērķi nodrošināt adresātam skaidru un loģisku normatīvo regulējumu. Līdz ar to lūdzam izvērtēt, vai noteikumu projekta 87.punkts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noteikumu projekta 87. un 88. punktā (pēc precizējumu izdarīšanas 84. un 85. punktā) ir norādīti tie gadījumi, kad RO pilnā apmērā vai daļēji, LAD piemērojot finanšu korekcijas, atmaksā saņemto atbalstu. Savukārt noteikumu projekta 89. punktā (pēc precizējumu izdarīšanas 86. punkts) noteikta kārtība ieguldījumu nodošanai vai to atlikušās vērtības kompensēšanai situācijās, kad biedrs izstājas no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11. panta 9. punkta trešā daļa paredz dalībvalstu izvēli. Latvija regulas 2022/126 11. panta 9. punkta trešās daļas gadījumā ir izvēlējusies atbalsta atgūšanu.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pieredzi augļu un dārzeņu RO darbībā, ir svarīgi noteikumu projektā skaidri norādīt, kuros gadījumos un kādā apmērā RO ir jāatmaksā saņemtais atbalsts vai, tās biedriem izstājoties, ir jānodrošina saņemto ieguldījumu nodošana.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Regulas </w:t>
            </w:r>
            <w:r w:rsidR="00000000" w:rsidRPr="00000000" w:rsidDel="00000000">
              <w:rPr>
                <w:rtl w:val="0"/>
              </w:rPr>
              <w:t xml:space="preserve">2022/126</w:t>
            </w:r>
            <w:r w:rsidR="00000000" w:rsidRPr="00000000" w:rsidDel="00000000">
              <w:rPr>
                <w:rtl w:val="0"/>
              </w:rPr>
              <w:t xml:space="preserve"> 11. panta 9. punkta trešajā daļā minētajos gadījumos ražotāju organizācija atmaksā saņemto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regulas 2017/891 6. panta 2. punktu atzītas augļu un dārzeņu ražotāju organizācijas biedrs par izstāšanos no ražotāju organizācijas informē par to rakstiski vismaz sešus mēnešus iepriekš. Lēmums par izstāšanos stājas spēkā ražotāju organizācijas statūtos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116.punktu, jo tas saturiski dublē noteikumu projekta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ir svarīgi saglabāt, jo noteikumu projekta 116. punkta (pēc precizējumu izdarīšanas 115. punkts) prasību piemēro līdz apstiprinātās darbības programmas termiņa beigām tikai tādai augļu un dārzeņu RO, kura ir atzīta un kuras darbības programmas apstiprināta līdz 2022. gada 31. decembrim. Noteikumu projekta V nodaļa attiecas tikai uz šādām atzītām augļu un dārzeņu RO, un noteikumu skaidrākas uztveramības nolūkā noteikumu projekta V nodaļā ir ietvertas atsevišķas normas, kas var daļēji dublēt šo noteikumu projekta citās nodaļās esošās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skaidrākas uztveramības labad, ņemot vērā to, ka uz ražotāju organizācijām, kas atzītas pirms 2023. gada 1. janvāra, attiecas tikai šo noteikumu projektu V nodaļa, pašreizējie nosacījumi ir jāsaglabā V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šis punkts precizēts, ievērojot Tieslietu ministrijas iebildumus par šo noteikumu projekta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Ievērojot regulas </w:t>
            </w:r>
            <w:r w:rsidR="00000000" w:rsidRPr="00000000" w:rsidDel="00000000">
              <w:rPr>
                <w:rtl w:val="0"/>
              </w:rPr>
              <w:t xml:space="preserve">2017/891</w:t>
            </w:r>
            <w:r w:rsidR="00000000" w:rsidRPr="00000000" w:rsidDel="00000000">
              <w:rPr>
                <w:rtl w:val="0"/>
              </w:rPr>
              <w:t xml:space="preserve"> 6. pantā noteikto, atzītas augļu un dārzeņu ražotāju organizācijas biedrs par izstāšanos no ražotāju organizācijas informē ne vēlāk kā sešus mēnešus pirms izstāšanās. Atzītā augļu un dārzeņu ražotāju organizācija pieņem lēmumu par biedra izstāšanos no ražotāju organizācijas tās statūtos noteiktajā kārtībā un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Ja atzīta augļu un dārzeņu ražotāju organizācija neievēro šo noteikumu </w:t>
            </w:r>
            <w:r w:rsidR="00000000" w:rsidRPr="00000000" w:rsidDel="00000000">
              <w:rPr>
                <w:rtl w:val="0"/>
              </w:rPr>
              <w:t xml:space="preserve">112.</w:t>
            </w:r>
            <w:r w:rsidR="00000000" w:rsidRPr="00000000" w:rsidDel="00000000">
              <w:rPr>
                <w:rtl w:val="0"/>
              </w:rPr>
              <w:t xml:space="preserve"> punkta prasību, kā arī regulas 2017/891 7. pantā, 11. panta 1. un 2. punktā noteiktos atzīšanas kritērijus, dienests piemēro sodu atbilstoši regulas 2017/891 59.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117.punktu. Vēršam uzmanību, pirmkārt, uz to, ka Eiropas Savienības regulu normas ir tieši piemērojamas, un nav nepieciešama tieši piemērojamo regulas normu pārņemšana nacionālajos normatīvajos aktos. Otrkārt, minētās regulas 2017/891 59. pants regulē ražotāju organizācijas atzīšanas apturēšanu un korektīvos pasākumus, un šādi pasākumi jau ieviesti ar citām noteikumu projekta normām. Turklāt Latvijas tiesību sistēmā jēdzienam “sods” un “soda piemērošana” ir pavisam cits tvērums, nekā regulas 2017/891 59.pantā minētajiem pasākumiem, līdz ar to nav atbalstāma šī jēdziena lietošana noteikumu projektā tādā kontekstā, kā tas šobrīd minēts noteikumu projekta 117.punktā. Norādām arī, ka privātpersonai piemērojamu sodu, tai skaitā sodu par Eiropas Savienības tiesību aktu pārkāpumiem, var noteikt tikai ar </w:t>
            </w:r>
            <w:r w:rsidR="00000000" w:rsidRPr="00000000" w:rsidDel="00000000">
              <w:rPr>
                <w:u w:val="single"/>
                <w:rtl w:val="0"/>
              </w:rPr>
              <w:t xml:space="preserve">likumu</w:t>
            </w:r>
            <w:r w:rsidR="00000000" w:rsidRPr="00000000" w:rsidDel="00000000">
              <w:rPr>
                <w:rtl w:val="0"/>
              </w:rPr>
              <w:t xml:space="preserve">, nevis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ka LAD, ja konstatē neatbilstības, piemēro regulas  2017/891  59. panta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dienests konstatē atzītas augļu un dārzeņu ražotāju organizācijas neatbilstību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punktā minētajām prasībām, kā arī regulas </w:t>
            </w:r>
            <w:r w:rsidR="00000000" w:rsidRPr="00000000" w:rsidDel="00000000">
              <w:rPr>
                <w:rtl w:val="0"/>
              </w:rPr>
              <w:t xml:space="preserve">2017/891</w:t>
            </w:r>
            <w:r w:rsidR="00000000" w:rsidRPr="00000000" w:rsidDel="00000000">
              <w:rPr>
                <w:rtl w:val="0"/>
              </w:rPr>
              <w:t xml:space="preserve"> 7. panta, 11. panta 1. un 2. punkta un 17. panta nosacījumiem, tas piemēro regulas </w:t>
            </w:r>
            <w:r w:rsidR="00000000" w:rsidRPr="00000000" w:rsidDel="00000000">
              <w:rPr>
                <w:rtl w:val="0"/>
              </w:rPr>
              <w:t xml:space="preserve">2017/891</w:t>
            </w:r>
            <w:r w:rsidR="00000000" w:rsidRPr="00000000" w:rsidDel="00000000">
              <w:rPr>
                <w:rtl w:val="0"/>
              </w:rPr>
              <w:t xml:space="preserve"> 59. panta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Dienests izvērtē atzītas augļu un dārzeņu ražotāju organizācijas darbības programmu un tai pievienotos dokumentus, veic regulas 2017/892 25. pantā noteiktās pārbaudes un līdz regulas 2017/891 33. panta 2. punkta pirmajā daļā norādītajam termiņam pieņem vienu no šādiem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128.punktā minēto lēmuma pieņemšanas termiņu un nepieciešamības gadījumā svītrot vai precizēt noteikumu projekta 128.punktā minēto termiņu, ievērojot, ka šāda lēmuma pieņemšanā piemērojama vispārējā administratīvā procesa kārtība un termiņi. Vēršam uzmanību, ka saskaņā ar Administratīvā procesa likuma 64.panta pirmo daļu,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regulas 2017/891 33. panta 2. punkta pirmajā daļā nav norādīts lēmuma pieņemšanas termiņš (laika posms) no darbības programmas iesniegšanas brīža, bet gan galējais termiņš (datums), līdz kuram visiem lēmumiem par ražotāju organizāciju darbības programmām ir jābūt pieņemtiem, proti, 15.decembris ("</w:t>
            </w:r>
            <w:r w:rsidR="00000000" w:rsidRPr="00000000" w:rsidDel="00000000">
              <w:rPr>
                <w:i w:val="1"/>
                <w:rtl w:val="0"/>
              </w:rPr>
              <w:t xml:space="preserve">lēmumus par darbības programmām un darbības fondiem dalībvalstis pieņem līdz to iesniegšanas gada 15.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128. punkts precizēts atbilstoši ES regulējumam.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Dienests izvērtē atzītas augļu un dārzeņu ražotāju organizācijas darbības programmu un tai pievienotos dokumentus, veic regulas </w:t>
            </w:r>
            <w:r w:rsidR="00000000" w:rsidRPr="00000000" w:rsidDel="00000000">
              <w:rPr>
                <w:rtl w:val="0"/>
              </w:rPr>
              <w:t xml:space="preserve">2017/892</w:t>
            </w:r>
            <w:r w:rsidR="00000000" w:rsidRPr="00000000" w:rsidDel="00000000">
              <w:rPr>
                <w:rtl w:val="0"/>
              </w:rPr>
              <w:t xml:space="preserve"> 25. pantā noteiktās pārbaudes un līdz regulas </w:t>
            </w:r>
            <w:r w:rsidR="00000000" w:rsidRPr="00000000" w:rsidDel="00000000">
              <w:rPr>
                <w:rtl w:val="0"/>
              </w:rPr>
              <w:t xml:space="preserve">2017/891</w:t>
            </w:r>
            <w:r w:rsidR="00000000" w:rsidRPr="00000000" w:rsidDel="00000000">
              <w:rPr>
                <w:rtl w:val="0"/>
              </w:rPr>
              <w:t xml:space="preserve"> 33. panta 2. punkta pirmajā daļā norādītajam termiņam pieņem vienu no šādiem lēmumiem: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Dienests lēmumu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noteikumu projekta 135.punktā minētos lēmuma pieņemšanas termiņus un nepieciešamības gadījumā svītrot vai precizēt noteikumu projekta 135.punktu, ievērojot, ka lēmuma pieņemšanā piemērojama vispārējā administratīvā procesa kārtība un termiņi, ja vien likumā (Lauksaimniecības un lauku attīstības likuma) nav noteikts garāks termiņš. Vēršam uzmanību, ka saskaņā ar Administratīvā procesa likuma 64.panta pirmo daļu,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regulas 2017/891 33. panta 2. punkta pirmajā daļā nav norādīts lēmuma pieņemšanas termiņš (laika posms) no darbības programmas iesniegšanas brīža, bet gan termiņš (datums), līdz kuram visiem lēmumiem par ražotāju organizāciju darbības programmām ir jābūt pieņemtiem, proti, 15.decembris.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135. punkts precizēts atbilstoši ES regulējumam.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Dienests lēmumu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177.punktu, ņemot vērā, ka 2023.gada 1.janvāris ir jau iestājies un noteikumu projekts stāsies spēkā vispārīgā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57.punktā ir noteikts pieejamais finansējuma apmērs plānošanas periodā no 2023. līdz 2027. gadam 6 900 000 euro apmērā, vienlaikus anotācijas 3.sadaļā norādītā informācija liecina, ka noteikumu projekta īstenošanai ir paredzēts lielāks finansējuma apmērs ne tikai plānošanas periodā no 2023. līdz 2027. gadam, bet arī pārejas perioda finansējums augļu un dārzeņu ražotāju organizācijām, kuras ir atzītas un kuru darbības programma ir apstiprināta līdz 2022. gada 31. decembrim. Ņemot vērā minēto, lūdzam precizēt informāciju par noteikumu projekta īstenošanai pieejamo finansējumu, lai tas savstarpēji sakristu noteikumu projektā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par ES finansējuma novērtējumu augļu un dārzeņu RO, kas atzītas pirms 2023. gada 1. janvāra un darbosies saskaņā ar noteikumu projekta V nodaļu, kā arī attiecīgi 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135. punkts nosaka, ka LAD ikgadējo atbalsta apmēru nosaka atbilstoši regulas 2017/891 23. panta 1. punktā minētajam atsauces periodam un 23. panta 3. punkta nosacījumiem, ņemot vērā regulas Nr. 1308/2013 34. panta 1. un 2. punktā noteikto maksimālo atbalsta apmēru. Tas nozīmē, ka ES finansiālā palīdzība nepārsniedz 50% no DP faktiskajiem izdevumiem, bet ne vairāk 4,1 % no ka katras RO pārdotās produkcijas vērtības. Ņemot vērā maksimālo atbalsta apmēru un apstiprinātās DP, tiek novērtēts, ka ES finansējums augļu un dārzeņu RO, kas atzītas pirms 2023. gada 1. janvāra un darbosies saskaņā ar noteikumu projekta V nodaļu, par 2023. gadā īstenoto DP būs 1 014 301 </w:t>
            </w:r>
            <w:r w:rsidR="00000000" w:rsidRPr="00000000" w:rsidDel="00000000">
              <w:rPr>
                <w:i w:val="1"/>
                <w:rtl w:val="0"/>
              </w:rPr>
              <w:t xml:space="preserve">euro</w:t>
            </w:r>
            <w:r w:rsidR="00000000" w:rsidRPr="00000000" w:rsidDel="00000000">
              <w:rPr>
                <w:rtl w:val="0"/>
              </w:rPr>
              <w:t xml:space="preserve"> (tiks izmaksāts 2024. gadā, kad LAD būs izvērtējis RO iesniegto atbalsta iesniegumu par DP īstenošanu un attiecināmajiem izdevumiem 2023. gadā - termiņš atbalsta iesniegumam ir kārtējā gada 15. februāris), par 2024. gadā īstenoto DP – 978 763 </w:t>
            </w:r>
            <w:r w:rsidR="00000000" w:rsidRPr="00000000" w:rsidDel="00000000">
              <w:rPr>
                <w:i w:val="1"/>
                <w:rtl w:val="0"/>
              </w:rPr>
              <w:t xml:space="preserve">euro</w:t>
            </w:r>
            <w:r w:rsidR="00000000" w:rsidRPr="00000000" w:rsidDel="00000000">
              <w:rPr>
                <w:rtl w:val="0"/>
              </w:rPr>
              <w:t xml:space="preserve"> (tiks izmaksāts 2025. gadā) un par 2025. gadā īstenoto DP – 1 020 409</w:t>
            </w:r>
            <w:r w:rsidR="00000000" w:rsidRPr="00000000" w:rsidDel="00000000">
              <w:rPr>
                <w:i w:val="1"/>
                <w:rtl w:val="0"/>
              </w:rPr>
              <w:t xml:space="preserve"> euro</w:t>
            </w:r>
            <w:r w:rsidR="00000000" w:rsidRPr="00000000" w:rsidDel="00000000">
              <w:rPr>
                <w:rtl w:val="0"/>
              </w:rPr>
              <w:t xml:space="preserve"> (tiks izmaksāts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2023. gadā tiks izmaksāts atbalsts par 2022. gadā īstenoto DP un par kuru iesniegts atbalsta iesniegums līdz 2023. gada 15. februārim - to kopējais ES finansējums sastāda 916 806 </w:t>
            </w:r>
            <w:r w:rsidR="00000000" w:rsidRPr="00000000" w:rsidDel="00000000">
              <w:rPr>
                <w:i w:val="1"/>
                <w:rtl w:val="0"/>
              </w:rPr>
              <w:t xml:space="preserve">euro</w:t>
            </w:r>
            <w:r w:rsidR="00000000" w:rsidRPr="00000000" w:rsidDel="00000000">
              <w:rPr>
                <w:rtl w:val="0"/>
              </w:rPr>
              <w:t xml:space="preserve">, bet tas var mainīties atkarībā no LAD veiktajām pārbaudēm saskaņā ar regulas 2017/892 26. un 27. pantu un piemērotajām finanšu korekcijām, ja tādas ir nepieciešamas.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augļu un dārzeņu RO, kuras ir atzītas un kuru DP apstiprināta līdz 2022. gada 31. decembrim, kopējais ES finansējums saskaņā ar ES tiesību aktiem tiek novērtēts 3 930 279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4.sadaļas 4.1.1. punktā sniegto informāciju, jo saskaņā ar Lauksaimniecības un lauku attīstības likuma pārejas noteikumu 27. punktā noteikto ar 2023. gada 1. janvāri spēku zaudē arī  Ministru kabineta 2013. gada 5. februāra noteikumi Nr. 80 "Piena un piena produktu ražotāju organizāciju atzīšanas un to darbības uzraudzības kārtība" un  Ministru kabineta 2008. gada 4. novembra noteikumi Nr. 921 "Noteikumi par augļu un dārzeņu ražotāju grupu atzīšanu, to darbības nosacījumiem un kontroli, kā arī kārtību, kādā piešķir, administrē un uzrauga valsts un Eiropas Savienības atbalstu augļu un dārzeņu ražotāju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sadaļas 4.1.1. punktā sniegtā informācija precizēta, papildus norādot, ka ar 2023. gada 1. janvāri spēku zaudē arī Ministru kabineta 2013. gada 5. februāra noteikumi Nr. 80 "Piena un piena produktu ražotāju organizāciju atzīšanas un to darbības uzraudzības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60.punktu atbalsta kopējais apmērs plānošanas periodā no 2023. līdz 2027. gadam ir 6 900 000 </w:t>
            </w:r>
            <w:r w:rsidR="00000000" w:rsidRPr="00000000" w:rsidDel="00000000">
              <w:rPr>
                <w:i w:val="1"/>
                <w:rtl w:val="0"/>
              </w:rPr>
              <w:t xml:space="preserve">euro</w:t>
            </w:r>
            <w:r w:rsidR="00000000" w:rsidRPr="00000000" w:rsidDel="00000000">
              <w:rPr>
                <w:rtl w:val="0"/>
              </w:rPr>
              <w:t xml:space="preserve">, attiecīgi lūdzam pārskatīt un precizēt anotācijas 3.sadaļā 1.- 6.punktos sniegto informāciju, lai tā nav pretrunā noteikumu projektā paredzētajam. Vienlaikus, veicot precizējumus, lūdzam anotācijas 3.sadaļas 6.punktā sniegt informāciju par finansējumu sadalījumā pa nozarēm katram gadam. Papildus vēršam uzmanību, ka saskaņā ar Ministru kabineta 2022.gada 18.janvāra sēdē izskatīto informatīvo ziņojumu “Par Latvijas Kopējās lauksaimniecības politikas stratēģisko plānu 2023.-2027. gadam” (prot. Nr. 3 34. §) indikatīvais ELGF finansējums pasākumam “Ražotāju organizācijas citos sektoros (pārdale no tiešajiem maksājumiem)” bija plānots 4 000 000 </w:t>
            </w:r>
            <w:r w:rsidR="00000000" w:rsidRPr="00000000" w:rsidDel="00000000">
              <w:rPr>
                <w:i w:val="1"/>
                <w:rtl w:val="0"/>
              </w:rPr>
              <w:t xml:space="preserve">euro </w:t>
            </w:r>
            <w:r w:rsidR="00000000" w:rsidRPr="00000000" w:rsidDel="00000000">
              <w:rPr>
                <w:rtl w:val="0"/>
              </w:rPr>
              <w:t xml:space="preserve">un pasākumam “Ražotāju organizācijas augļu un dārzeņu sektorā” arī 4 000 000 </w:t>
            </w:r>
            <w:r w:rsidR="00000000" w:rsidRPr="00000000" w:rsidDel="00000000">
              <w:rPr>
                <w:i w:val="1"/>
                <w:rtl w:val="0"/>
              </w:rPr>
              <w:t xml:space="preserve">euro</w:t>
            </w:r>
            <w:r w:rsidR="00000000" w:rsidRPr="00000000" w:rsidDel="00000000">
              <w:rPr>
                <w:rtl w:val="0"/>
              </w:rPr>
              <w:t xml:space="preserve">, attiecīgi lūdzam anotācijas 3.sadaļā sniegt skaidrojumu, kāpēc noteikumu projektā paredzētais atbalsts atšķiras no iepriekš sniegtās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sniegtā informācija ir pārskatīta un precizēta, dodot detalizētu skaidrojumu par noteikumu projektā norādīto finansējumu 6 900 000 </w:t>
            </w:r>
            <w:r w:rsidR="00000000" w:rsidRPr="00000000" w:rsidDel="00000000">
              <w:rPr>
                <w:i w:val="1"/>
                <w:rtl w:val="0"/>
              </w:rPr>
              <w:t xml:space="preserve">euro</w:t>
            </w:r>
            <w:r w:rsidR="00000000" w:rsidRPr="00000000" w:rsidDel="00000000">
              <w:rPr>
                <w:rtl w:val="0"/>
              </w:rPr>
              <w:t xml:space="preserve"> apmērā periodā no 2023. līdz 2027. gadam. Šis finansējums ir paredzēts tām ražotāju organizācijām, kuras tiks atzītas un savu darbību sāks pēc 2023. gada 1. janvāra, un tām augļu un dārzeņu ražotāju organizācijām, kuras atzītas pirms 2023. gada 1. janvāra un darbosies saskaņā ar noteikumu projekta V nodaļu. Anotācijas 3. sadaļā finansējuma tabula par budžeta ieņēmumiem un tā izdevumiem ietver finansējumu gan tām ražotāju organizācijām, kuras tiks atzītas un savu darbību sāks pēc 2023. gada 1. janvāra, gan finansējumu augļu un dārzeņu ražotāju organizācijām, kuras darbojas saskaņā ar to esošajām apstiprinātajām darbības programmām un, kuras izvēlējās īstenot savas darbības programmas, ņemot vērā ES regulējumā paredzēto pārejas periodu, un turpinās darboties arī pēc 2023. gada 1. janvāra līdzšinējā kārtībā saskaņā ar regulas Nr. 1308/2013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ir norādīts finansējuma sadalījums pa nozarēm katram gadam, kā arī sniegts skaidrojums, kāpēc noteikumu projektā paredzētais atbalsts augļu un dārzeņu ražotāju organizācijām, kuras tiks atzītas un savu darbību sāks pēc 2023. gada 1. janvāra, atšķiras no Ministru kabineta 2022. gada 18. janvāra sēdē izskatītajā informatīvajā ziņojumā “Par Latvijas Kopējās lauksaimniecības politikas stratēģisko plānu 2023.-2027. gadam” (prot. Nr. 3 34. §) (turpmāk – ziņojums) norādītā indikatīvā ELGF finansējuma pasākumam “Ražotāju organizācijas augļu un dārzeņu sektorā” 4 000 000 </w:t>
            </w:r>
            <w:r w:rsidR="00000000" w:rsidRPr="00000000" w:rsidDel="00000000">
              <w:rPr>
                <w:i w:val="1"/>
                <w:rtl w:val="0"/>
              </w:rPr>
              <w:t xml:space="preserve">euro</w:t>
            </w:r>
            <w:r w:rsidR="00000000" w:rsidRPr="00000000" w:rsidDel="00000000">
              <w:rPr>
                <w:rtl w:val="0"/>
              </w:rPr>
              <w:t xml:space="preserve"> apmērā. Finansējums augļu un dārzeņu ražotāju organizācijām, kuras tiks atzītas un savu darbību sāks pēc 2023. gada 1. janvāra, ir ieplānots 2 900 000 </w:t>
            </w:r>
            <w:r w:rsidR="00000000" w:rsidRPr="00000000" w:rsidDel="00000000">
              <w:rPr>
                <w:i w:val="1"/>
                <w:rtl w:val="0"/>
              </w:rPr>
              <w:t xml:space="preserve">euro</w:t>
            </w:r>
            <w:r w:rsidR="00000000" w:rsidRPr="00000000" w:rsidDel="00000000">
              <w:rPr>
                <w:rtl w:val="0"/>
              </w:rPr>
              <w:t xml:space="preserve"> apmērā, kas ir mazāks daudzums nekā ziņojumā norādītais indikatīvais ELGF finansējums pasākumam “Ražotāju organizācijas augļu un dārzeņu sektorā”. Noteikumu projektā paredzētais atbalsts atšķiras no ziņojumā sniegtās informācijas, jo tika izdarīti precīzāki aprēķini par iespējamo finansējumu, ņemot vērā pēc 2022. gada 18. janvāra pieejamos aktuālos datus par esošo augļu un dārzeņu RO darbības rezultātiem, kā arī to, ka līdz 2023. gada 31. decembrim viena atzīta augļu un dārzeņu RO un līdz 2025. gada 31. decembrim vēl četras atzītas augļu un dārzeņu RO izvēlējās īstenot savas darbības, ņemot vērā ES regulējumā paredzēto pārejas periodu, lai tās varētu turpināt darboties arī pēc 2023. gada 1. janvāra līdzšinējā kārtībā saskaņā ar regulas Nr. 1308/2013 nosacījumiem. Pamatojoties uz šo informāciju, kas kļuva zināma  pēc 2022. gada 18. janvāra, tika aktualizēti aprēķini 2023. līdz 2027. gada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3.sadaļu, ņemot vērā š.g. 31.martā e-pastā nosūtīto piemēru precizējumiem anotācijas 3.sadaļā, tai skaitā arī tehniskus precizējumus informācijas sniegšanā 6.punktā, lai informācija būtu pārskatāmāka.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t.sk. veikti tehniski precizējumi 3. sadaļas 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22-TA-3549</w:t>
    </w:r>
    <w:r>
      <w:br/>
    </w:r>
    <w:r w:rsidR="00000000" w:rsidRPr="00000000" w:rsidDel="00000000">
      <w:rPr>
        <w:rtl w:val="0"/>
      </w:rPr>
      <w:t xml:space="preserve">11.04.2023. 10.07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22-TA-3549</w:t>
    </w:r>
    <w:r>
      <w:br/>
    </w:r>
    <w:r w:rsidR="00000000" w:rsidRPr="00000000" w:rsidDel="00000000">
      <w:rPr>
        <w:rtl w:val="0"/>
      </w:rPr>
      <w:t xml:space="preserve">11.04.2023. 10.07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Izziņa_22-TA-3549.docx</dc:title>
</cp:coreProperties>
</file>

<file path=docProps/custom.xml><?xml version="1.0" encoding="utf-8"?>
<Properties xmlns="http://schemas.openxmlformats.org/officeDocument/2006/custom-properties" xmlns:vt="http://schemas.openxmlformats.org/officeDocument/2006/docPropsVTypes"/>
</file>