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15:46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norādītais: “Pakalpojumu sniedzēji tiks izvēlēti atklātā, pārredzamā, nediskriminējošā un konkurenci nodrošinošā konkursa procedūrā, kā arī maksa par pakalpojumu sniedzēju pakalpojumiem nepārsniegs vidējo tirgus cenu, tādējādi pasākums nekvalificējas kā komercdarbības atbalsts.”, nenodrošina komercdarbības atbalsta sniegšanas riska izslēgšanu pakalpojumu sniedzēju līmenī. Skaidrojam, ka, lai izslēgtu ekonomiskās priekšrocības preču piegādātājiem un pakalpojumu sniedzējiem, tādējādi novēršot tiem komercdarbības atbalsta piešķiršanu, tie būtu jāizraugās atklātā, pārredzamā, nediskriminējošā un konkurenci nodrošinošā iepirkuma procedūrā. Lai nodrošinātu, ka preču piegādātāju/pakalpojumu sniedzēja līmenī netiek sniegts komercdarbības atbalsts, lūdzam precizēt anotācijā ietverto informāciju, norādot, ka: “Pakalpojumu sniedzēji tiks izvēlēti atklātā, pārredzamā, nediskriminējošā un konkurenci nodrošinošā procedūrā,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Kultūras ministrija nevar nodrošināt, ka pakalpojumu sniedzēji tiek izvēlēti atklātā, pārredzamā, nediskriminējošā un konkurenci nodrošinošā iepirkuma procedūrā, attiecībā uz šiem subjektiem piešķiramo publisko finansējumu lūdzam piemērot komercdarbības atbalsta kontroles regulējumu, piemēram, Eiropas Komisijas 2023. gada 13. decembra Regulas (ES) 2023/2831  par Līguma par Eiropas Savienības darbību 107. un 108. panta piemērošanu de minimis atbalstam, nosacījumus. Vienlaikus skaidrojam, ka, ja iespējams pamatot kādas no Komercdarbības atbalsta kontroles likuma 5.pantā minētajām komercdarbības atbalsta raksturojošās pazīmes neizpildīšanos, tādā gadījumā atbalsts nekvalificētos kā komercdarbības atbalsts un komercdarbības atbalsta nosacījumi nebūtu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izvēlētajam rīcības variantam, lūdzam papildināt anotāciju, vai nu ar pamatojumu, kāpēc atbalsts nekvalificējas kā komercdarbības atbalsts (piemēram, jo pakalpojumu sniedzēji tiek izvēlēti iepirkuma procedūrā), vai arī ar pamatojumu par kādas komercdarbības atbalsta pazīmes (piemēram, ietekmes uz tirdzniecību un konkurenci) neizpildīšanos.  Ja nevienu no šiem nosacījumiem izpildīt nav iespējams, lūdzam piemērot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integrācijas fonds (turpmāk – Fonds) valsts budžeta finansētās programmas “Latviešu valodas mācības Ukrainas civiliedzīvotājiem” (turpmāk – Programma) ietvaros neiegādājas pakalpojumu savām vajadzībām. Fonds īsteno atklātu projektu iesniegumu konkursu, kura ietvaros tiek apstiprināti visi projektu iesniedzēji, kas atbilst konkursa nolikumā noteiktajām prasībām. Konkrēto latviešu valodas mācību pakalpojuma sniedzēju faktiski izvēlas trešā puse – Ukrainas civiliedzīvotājs, piesakoties mācībām pie attiecīgā projekta īstenotāja.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pakalpojuma sniegšanas organizēšanas kārtība neatbilst Publisko iepirkumu likuma 1. panta 9. punktā noteiktajai iepirkuma līguma definīcijai, jo līgums netiek slēgts starp pasūtītāju un piegādātāju pasūtītāja finansiālajās interesēs. Attiecīgi publisko iepirkumu tiesiskais regulējums nav piemērojams. Minēto pieeju apstiprina arī Iepirkumu uzraudzības biroja 2022. gada 31. janvāra vēstulē Fondam sniegtais skaidrojums par Fonda īstenotajiem latviešu valodas kursiem, kurā norādīts, ka gadījumos, kad pakalpojuma sniedzēju izvēlas trešā persona un publiskā institūcija atlasa visus minimālajām prasībām atbilstošos pakalpojumu sniedzējus, publiskā iepirkuma regulējums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konkursā tiek nodrošināta atklāta, pārredzama, nediskriminējoša procedūra, jo saskaņā ar konkursa nolikumu visiem pakalpojumu sniedzējiem, kuri atbilst konkursa nolikumā noteiktajām atbilstības prasībām, tiek piešķirtas tiesības sniegt latviešu valodas mācību pakalpojumu, un atbilstoši konkursa nolikumā noteiktajai vienas vienības izmaksai maksa par pakalpojumu sniedzēju pakalpojumiem nepārsniegs vidējo tirgus cenu un ietver visas ar pakalpojuma sniegšanu saistītās izmaksas. Tādējādi pakalpojumu sniedzēji nesaņem selektīvu ekonomisku priekšrocību un pasākums neatbilst Komercdarbības atbalsta kontroles likuma 5. pantā noteiktajām komercdarbības atbalsta pazīmēm, jo, saņemot atbalstu, komercsabiedrība neiegūst ekonomiskas priekšrocības, kādas tā nevarētu iegūt tirgus apstākļos. Ņemot vērā minēto, Programmas ietvaros piešķirtais finansējums nekvalificējas kā komercdarbības atbalsts, un komercdarbības atbalsta kontroles tiesiskā regulējuma piemērošana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Komercdarbības atbalsta kontroles likuma 5.pantā minēto komercdarbības atbalsta raksturojošo pazīmju neizpildīšanos,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nesaņem selektīvu ekonomisku priekšrocību. Finansējums tiek piešķirts atklāta projektu iesniegumu konkursa ietvaros, kurā var piedalīties visi pretendenti, kas atbilst vienotām, iepriekš noteiktām prasībām, un tiek apstiprināti visi atbilstošie projektu iesniedzēji. Vienlaikus tiek piemērota vienota maksimālā izmaksu likme par mācību stundu, kas balstīta uz vidējām tirgus cenām un ietver visas ar pakalpojuma sniegšanu saistītās izmaksas, tādējādi nepieļaujot pārmērīgu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netiek piešķirts konkrēta saimnieciskās darbības subjekta interesēs, bet ir vērsts uz sabiedrības grupu – Ukrainas civiliedzīvotāju – atbalstu, nodrošinot tiem piekļuvi latviešu valodas apguvei. Konkrēto pakalpojuma sniedzēju izvēli veic trešā persona – mācību dalībnieks, savukārt Fonds nodrošina vienīgi Programmas administrēšanu un finanšu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lūgumu piemērot komercdarbības atbalsta kontroles regulējumu, piemēram, Eiropas Komisijas 2023. gada 13. decembra Regulas (ES) 2023/2831  par Līguma par Eiropas Savienības darbību 107. un 108. panta piemērošanas de minimis atbalstam, nosacījumus,  skaidrojam, ka Programmas ietvaros paredzētais finansēšanas mehānisms atbilst Projekta anotācijas 1. sadaļas “Tiesību akta projekta izstrādes nepieciešamība” 1.3. punkta “Pašreizējā situācija, problēmas un risinājumi” daļā “Risinājuma apraksts” aprakstītajai pieejai, proti, Fonds neiegādājas pakalpojumus Publisko iepirkumu likuma izpratnē un neslēdz iepirkuma līgumus ar pakalpojumu sniedzējiem, bet īsteno atklātu projektu iesniegumu konkursu, kura ietvaros tiek apstiprināti visi projektu iesniedzēji, kas atbilst vienotām, iepriekš noteiktām prasībām. Konkrēto pakalpojuma sniedzēju izvēli veic trešā persona – mācību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(ex-ante) 1. sadaļas “Tiesību akta projekta izstrādes nepieciešamība” 1.3. punkta “Pašreizējā situācija, problēmas un risinājumi” daļa “Risinājuma apraksts”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 tiks izvēlēti atklātā, pārredzamā, nediskriminējošā konkursa procedūrā, jo saskaņā ar konkursa nolikumu visiem pakalpojumu sniedzējiem, kuri atbilst konkursa nolikumā noteiktajām atbilstības prasībām, tiek piešķirtas tiesības sniegt latviešu valodas mācību pakalpojumu, un atbilstoši konkursa nolikumā noteiktajai vienas vienības izmaksai maksa par pakalpojumu sniedzēju pakalpojumiem nepārsniegs vidējo tirgus cenu. Konkrēto pakalpojuma sniedzēju izvēli veic trešā persona, bet cilvēks pats, kuram ir nepieciešams apgūt latviešu valodu, izvēlas no pieejamā pakalpojumu sniedzēju klāsta, pie kura pakalpojuma sniedzēja konkrēti viņš vēlas saņemt nepieciešamo pakalpojumu. Tāpat arī visiem pakalpojumu sniedzējiem tiek piemērota vienota maksimālā izmaksu likme par mācību stundu, kas balstīta uz vidējām tirgus cenām un ietver visas ar pakalpojuma sniegšanu saistītās izmaksas, tādējādi nepieļaujot pārmērīgu atlīdzību. Maksa par pakalpojumu atbilst vidējām tirgus cenām, jo pirms pakalpojuma maksas noteikšanas Fonds veic tirgus cenu izpēti, aptaujājot pakalpojumu sniedzējus par viņu sniegtā pakalpojuma izmaksām, tādā veidā noskaidrojot reālo tirgus situāciju. Programmas ietvaros paredzams, ka pieaugušajiem un bērniem latviešu valodas mācību kursa izmaksas vienas stundas likmei vienam valodas apguvējam nedrīkst pārsniegt 6,30 </w:t>
            </w:r>
            <w:r w:rsidR="00000000" w:rsidRPr="00000000" w:rsidDel="00000000">
              <w:rPr>
                <w:i w:val="1"/>
                <w:rtl w:val="0"/>
              </w:rPr>
              <w:t xml:space="preserve">euro</w:t>
            </w:r>
            <w:r w:rsidR="00000000" w:rsidRPr="00000000" w:rsidDel="00000000">
              <w:rPr>
                <w:rtl w:val="0"/>
              </w:rPr>
              <w:t xml:space="preserve">/h. Pēc līguma noslēgšanas ar Fondu izmaksas projekta īstenotājam piešķir par katru atbilstošo valodas apguvēju. Līdz ar ko visiem pakalpojumu sniedzējiem pakalpojuma vienas vienības maksa ir vienāda un kādam atsevišķam pakalpojuma sniedzējam ekonomiskas priekšrocības netiek radītas, jo visiem ir vienādi noteikumi. Ņemot vērā minēto, pasākums nekvalificējas kā komercdarbības atbalsts un komercdarbības atbalsta kontroles regulējums nav jāpiemēro.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Tādējadi minētajā situācijā nav konstatējams tāds publiskā finansējuma piešķiršanas modelis, kas pats par sevi radītu pamatu komercdarbības atbalsta kontroles tiesiskā regulējuma, tostarp Eiropas Komisijas 2023. gada 13. decembra Regulas (ES) 2023/2831 par de minimis atbalstu,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2026.gadā administrēšanas izmaksas noteikt 2,93% apmērā (2025.gadā 1,93%) un izmaksas atlīdzībai 2,59% apmērā (2025.gadā 1,73%) no kopējā programmas finansējuma, ja kopējais plānotais finansējums programmas īstenošanai 2026.gadā ir par 1 417 362 </w:t>
            </w:r>
            <w:r w:rsidR="00000000" w:rsidRPr="00000000" w:rsidDel="00000000">
              <w:rPr>
                <w:i w:val="1"/>
                <w:rtl w:val="0"/>
              </w:rPr>
              <w:t xml:space="preserve">euro</w:t>
            </w:r>
            <w:r w:rsidR="00000000" w:rsidRPr="00000000" w:rsidDel="00000000">
              <w:rPr>
                <w:rtl w:val="0"/>
              </w:rPr>
              <w:t xml:space="preserve"> jeb 30,25% mazāks salīdzinot ar 2025.gadu. Ņemot vērā minēto, finansējums administrēšanas izmaksu nodrošināšanai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 sadaļā “Tiesību akta projekta izstrādes nepieciešamība” un 3. sadaļā “Tiesību akta projekta ietekme uz valsts budžetu un pašvaldību budžetiem” precizētas Programmas administratīvās izmaksas. Vienlaikus vēršam uzmanību, ka samazinoties Programmas kopējam finansējumam, iesaistīto personu skaits un darbs konkursa organizēšanā un līgumu īstenošanas uzraudzībā nemazinās, jo jebkurā gadījumā konkursa organizācijas un līgumu uzraudzības process ir jānodrošina.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22.decembra Ministru kabineta rīkojuma Nr.896 “Par Pasākumu plānu atbalsta sniegšanai Ukrainas civiliedzīvotājiem Latvijas Republikā 2026. gadam” anotācijas 5.pielikumā ir iekļauta informācija, ka vidējās latviešu valodas mācību kursa izmaksas vienai personai ir 735 </w:t>
            </w:r>
            <w:r w:rsidR="00000000" w:rsidRPr="00000000" w:rsidDel="00000000">
              <w:rPr>
                <w:i w:val="1"/>
                <w:rtl w:val="0"/>
              </w:rPr>
              <w:t xml:space="preserve">euro</w:t>
            </w:r>
            <w:r w:rsidR="00000000" w:rsidRPr="00000000" w:rsidDel="00000000">
              <w:rPr>
                <w:rtl w:val="0"/>
              </w:rPr>
              <w:t xml:space="preserve"> apmērā. Ņemot vērā minēto, ir precizējama informācija anotācijā, kurā izmaksas vienai personai ir norādītas 1 060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2025. gada 22. decembra rīkojuma Nr. 896 “Par Pasākumu plānu atbalsta sniegšanai Ukrainas civiliedzīvotājiem Latvijas Republikā 2026. gadam” anotācijas 5. pielikumā norādītā vidējā latviešu valodas mācību kursa izmaksu summa 735 </w:t>
            </w:r>
            <w:r w:rsidR="00000000" w:rsidRPr="00000000" w:rsidDel="00000000">
              <w:rPr>
                <w:i w:val="1"/>
                <w:rtl w:val="0"/>
              </w:rPr>
              <w:t xml:space="preserve">euro </w:t>
            </w:r>
            <w:r w:rsidR="00000000" w:rsidRPr="00000000" w:rsidDel="00000000">
              <w:rPr>
                <w:rtl w:val="0"/>
              </w:rPr>
              <w:t xml:space="preserve">apmērā attiecas uz 2025. gadā īstenoto programmu, kuras ietvaros pieaugušajiem tika nodrošināts latviešu valodas mācību apjoms (sākot no) 120 akadēmisko stundu apmērā, kā arī tika piemērota attiecīgā gada vidējā vienas mācību stundas izmaksu likme 5,70 </w:t>
            </w:r>
            <w:r w:rsidR="00000000" w:rsidRPr="00000000" w:rsidDel="00000000">
              <w:rPr>
                <w:i w:val="1"/>
                <w:rtl w:val="0"/>
              </w:rPr>
              <w:t xml:space="preserve">euro</w:t>
            </w:r>
            <w:r w:rsidR="00000000" w:rsidRPr="00000000" w:rsidDel="00000000">
              <w:rPr>
                <w:rtl w:val="0"/>
              </w:rPr>
              <w:t xml:space="preserve">/h. Vienlaikus norādāms, ka minētajā 5. pielikumā ietvertais formulējums “projekts paredz risinājumu, lai nodrošinātu vismaz 120 stundu latviešu valodas mācības” atspoguļo 2025. gada programmas īstenošanas nosacījumus un nav attiecināms uz 2026. gadā plānoto Programmas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anotācijas (ex-ante) 3. sadaļā “Tiesību akta projekta ietekme uz valsts budžetu un pašvaldību budžetiem” norādītās izmaksas 1 060 </w:t>
            </w:r>
            <w:r w:rsidR="00000000" w:rsidRPr="00000000" w:rsidDel="00000000">
              <w:rPr>
                <w:i w:val="1"/>
                <w:rtl w:val="0"/>
              </w:rPr>
              <w:t xml:space="preserve">euro </w:t>
            </w:r>
            <w:r w:rsidR="00000000" w:rsidRPr="00000000" w:rsidDel="00000000">
              <w:rPr>
                <w:rtl w:val="0"/>
              </w:rPr>
              <w:t xml:space="preserve">apmērā vienai personai ir aprēķinātas, balstoties uz 2026. gadā plānoto Programmas īstenošanas modeli, kas paredz pieaugušajiem nodrošināt latviešu valodas mācības tikai 160 akadēmisko stundu apmērā un bērniem 70-160 akadēmisko stundu apmērā. Aprēķinos ir ņemta vērā aktualizētā vienas mācību stundas vidējā izmaksu likme 6,30 </w:t>
            </w:r>
            <w:r w:rsidR="00000000" w:rsidRPr="00000000" w:rsidDel="00000000">
              <w:rPr>
                <w:i w:val="1"/>
                <w:rtl w:val="0"/>
              </w:rPr>
              <w:t xml:space="preserve">euro</w:t>
            </w:r>
            <w:r w:rsidR="00000000" w:rsidRPr="00000000" w:rsidDel="00000000">
              <w:rPr>
                <w:rtl w:val="0"/>
              </w:rPr>
              <w:t xml:space="preserve">/h, kas noteikta, apkopojot tirgus izpētes rezultātus, kā arī iekļautas valsts valodas prasmes pārbaudes (eksāmena)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2025. gada 22. decembra rīkojuma Nr. 896 “Par Pasākumu plānu atbalsta sniegšanai Ukrainas civiliedzīvotājiem Latvijas Republikā 2026. gadam” anotācijas 5. pielikumā norādītā summa 735 </w:t>
            </w:r>
            <w:r w:rsidR="00000000" w:rsidRPr="00000000" w:rsidDel="00000000">
              <w:rPr>
                <w:i w:val="1"/>
                <w:rtl w:val="0"/>
              </w:rPr>
              <w:t xml:space="preserve">euro </w:t>
            </w:r>
            <w:r w:rsidR="00000000" w:rsidRPr="00000000" w:rsidDel="00000000">
              <w:rPr>
                <w:rtl w:val="0"/>
              </w:rPr>
              <w:t xml:space="preserve">apmērā atspoguļo iepriekšējā – 2025. gada vidējās izmaksas vienai personai, savukārt Projekta anotācijas (ex-ante) 3. sadaļā “Tiesību akta projekta ietekme uz valsts budžetu un pašvaldību budžetiem” norādītā summa 1 060 </w:t>
            </w:r>
            <w:r w:rsidR="00000000" w:rsidRPr="00000000" w:rsidDel="00000000">
              <w:rPr>
                <w:i w:val="1"/>
                <w:rtl w:val="0"/>
              </w:rPr>
              <w:t xml:space="preserve">euro </w:t>
            </w:r>
            <w:r w:rsidR="00000000" w:rsidRPr="00000000" w:rsidDel="00000000">
              <w:rPr>
                <w:rtl w:val="0"/>
              </w:rPr>
              <w:t xml:space="preserve">apmērā ir korekta un atbilstoša 2026. gadā plānotajam mācību apjomam un izmaksu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 </w:t>
            </w:r>
            <w:r w:rsidR="00000000" w:rsidRPr="00000000" w:rsidDel="00000000">
              <w:rPr>
                <w:i w:val="1"/>
                <w:rtl w:val="0"/>
              </w:rPr>
              <w:t xml:space="preserve">euro</w:t>
            </w:r>
            <w:r w:rsidR="00000000" w:rsidRPr="00000000" w:rsidDel="00000000">
              <w:rPr>
                <w:rtl w:val="0"/>
              </w:rPr>
              <w:t xml:space="preserve">/h x 160h kurss + 52 </w:t>
            </w:r>
            <w:r w:rsidR="00000000" w:rsidRPr="00000000" w:rsidDel="00000000">
              <w:rPr>
                <w:i w:val="1"/>
                <w:rtl w:val="0"/>
              </w:rPr>
              <w:t xml:space="preserve">euro </w:t>
            </w:r>
            <w:r w:rsidR="00000000" w:rsidRPr="00000000" w:rsidDel="00000000">
              <w:rPr>
                <w:rtl w:val="0"/>
              </w:rPr>
              <w:t xml:space="preserve">eksāmena izmaksas = 1 060 </w:t>
            </w:r>
            <w:r w:rsidR="00000000" w:rsidRPr="00000000" w:rsidDel="00000000">
              <w:rPr>
                <w:i w:val="1"/>
                <w:rtl w:val="0"/>
              </w:rPr>
              <w:t xml:space="preserve">euro</w:t>
            </w:r>
            <w:r w:rsidR="00000000" w:rsidRPr="00000000" w:rsidDel="00000000">
              <w:rPr>
                <w:rtl w:val="0"/>
              </w:rPr>
              <w:t xml:space="preserve">/ 1 cilvēks.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korekti aizpildāma informācija anotācijas III sadaļā “Tiesību akta projekta ietekme uz valsts budžetu un pašvaldību budžetiem”, 5.kollonas 2.,2.1. un 4.punktā norādot skaitli “3 268 263”, savukārt 3. un 3.1.apakšpunktā “- 3 268 263”.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25-TA-3100</w:t>
    </w:r>
    <w:r>
      <w:br/>
    </w:r>
    <w:r w:rsidR="00000000" w:rsidRPr="00000000" w:rsidDel="00000000">
      <w:rPr>
        <w:rtl w:val="0"/>
      </w:rPr>
      <w:t xml:space="preserve">09.01.2026. 14.06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25-TA-3100</w:t>
    </w:r>
    <w:r>
      <w:br/>
    </w:r>
    <w:r w:rsidR="00000000" w:rsidRPr="00000000" w:rsidDel="00000000">
      <w:rPr>
        <w:rtl w:val="0"/>
      </w:rPr>
      <w:t xml:space="preserve">09.01.2026. 14.06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Izziņa_25-TA-3100.docx</dc:title>
</cp:coreProperties>
</file>

<file path=docProps/custom.xml><?xml version="1.0" encoding="utf-8"?>
<Properties xmlns="http://schemas.openxmlformats.org/officeDocument/2006/custom-properties" xmlns:vt="http://schemas.openxmlformats.org/officeDocument/2006/docPropsVTypes"/>
</file>