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2BB9A" w14:textId="77777777" w:rsidR="00C84EA0" w:rsidRDefault="00C84EA0" w:rsidP="00C84EA0">
      <w:pPr>
        <w:rPr>
          <w:rFonts w:asciiTheme="minorHAnsi" w:hAnsiTheme="minorHAnsi" w:cstheme="minorBidi"/>
          <w:lang w:eastAsia="en-US"/>
        </w:rPr>
      </w:pPr>
    </w:p>
    <w:p w14:paraId="6173ECBE" w14:textId="77777777" w:rsidR="00C84EA0" w:rsidRDefault="00C84EA0" w:rsidP="00C84EA0">
      <w:pPr>
        <w:rPr>
          <w:rFonts w:eastAsia="Times New Roman"/>
          <w:lang w:val="en-US"/>
        </w:rPr>
      </w:pPr>
      <w:r>
        <w:rPr>
          <w:rFonts w:eastAsia="Times New Roman"/>
          <w:b/>
          <w:bCs/>
          <w:lang w:val="en-US"/>
        </w:rPr>
        <w:t>From:</w:t>
      </w:r>
      <w:r>
        <w:rPr>
          <w:rFonts w:eastAsia="Times New Roman"/>
          <w:lang w:val="en-US"/>
        </w:rPr>
        <w:t xml:space="preserve"> Linda Bernāne &lt;Linda.Bernane@tm.gov.lv&gt;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trešdiena</w:t>
      </w:r>
      <w:proofErr w:type="spellEnd"/>
      <w:r>
        <w:rPr>
          <w:rFonts w:eastAsia="Times New Roman"/>
          <w:lang w:val="en-US"/>
        </w:rPr>
        <w:t xml:space="preserve">, 2022. </w:t>
      </w:r>
      <w:proofErr w:type="spellStart"/>
      <w:r>
        <w:rPr>
          <w:rFonts w:eastAsia="Times New Roman"/>
          <w:lang w:val="en-US"/>
        </w:rPr>
        <w:t>gada</w:t>
      </w:r>
      <w:proofErr w:type="spellEnd"/>
      <w:r>
        <w:rPr>
          <w:rFonts w:eastAsia="Times New Roman"/>
          <w:lang w:val="en-US"/>
        </w:rPr>
        <w:t xml:space="preserve"> 5. </w:t>
      </w:r>
      <w:proofErr w:type="spellStart"/>
      <w:r>
        <w:rPr>
          <w:rFonts w:eastAsia="Times New Roman"/>
          <w:lang w:val="en-US"/>
        </w:rPr>
        <w:t>janvāris</w:t>
      </w:r>
      <w:proofErr w:type="spellEnd"/>
      <w:r>
        <w:rPr>
          <w:rFonts w:eastAsia="Times New Roman"/>
          <w:lang w:val="en-US"/>
        </w:rPr>
        <w:t xml:space="preserve"> 09:55</w:t>
      </w:r>
      <w:r>
        <w:rPr>
          <w:rFonts w:eastAsia="Times New Roman"/>
          <w:lang w:val="en-US"/>
        </w:rPr>
        <w:br/>
      </w:r>
      <w:r>
        <w:rPr>
          <w:rFonts w:eastAsia="Times New Roman"/>
          <w:b/>
          <w:bCs/>
          <w:lang w:val="en-US"/>
        </w:rPr>
        <w:t>To:</w:t>
      </w:r>
      <w:r>
        <w:rPr>
          <w:rFonts w:eastAsia="Times New Roman"/>
          <w:lang w:val="en-US"/>
        </w:rPr>
        <w:t xml:space="preserve"> Pasts &lt;Pasts@fm.gov.lv&gt;</w:t>
      </w:r>
      <w:r>
        <w:rPr>
          <w:rFonts w:eastAsia="Times New Roman"/>
          <w:lang w:val="en-US"/>
        </w:rPr>
        <w:br/>
      </w:r>
      <w:r>
        <w:rPr>
          <w:rFonts w:eastAsia="Times New Roman"/>
          <w:b/>
          <w:bCs/>
          <w:lang w:val="en-US"/>
        </w:rPr>
        <w:t>Cc:</w:t>
      </w:r>
      <w:r>
        <w:rPr>
          <w:rFonts w:eastAsia="Times New Roman"/>
          <w:lang w:val="en-US"/>
        </w:rPr>
        <w:t xml:space="preserve"> Ilze Māliņa &lt;Ilze.Malina@TM.GOV.LV&gt;; Ilze Baranovska &lt;Ilze.Baranovska@tm.gov.lv&gt;; Iveta </w:t>
      </w:r>
      <w:proofErr w:type="spellStart"/>
      <w:r>
        <w:rPr>
          <w:rFonts w:eastAsia="Times New Roman"/>
          <w:lang w:val="en-US"/>
        </w:rPr>
        <w:t>Gedus</w:t>
      </w:r>
      <w:proofErr w:type="spellEnd"/>
      <w:r>
        <w:rPr>
          <w:rFonts w:eastAsia="Times New Roman"/>
          <w:lang w:val="en-US"/>
        </w:rPr>
        <w:t xml:space="preserve"> &lt;Iveta.Gedus@tm.gov.lv&gt;; Evita Vamža &lt;evita.vamza@fm.gov.lv&gt;; Zane.Logina@fm.gov.lv &lt;IMCEAUNDEFINED-Zane+2ELogina+40fm+2Egov+2Elv@EURPRD10.PROD.OUTLOOK.COM&gt;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Likumprojekts</w:t>
      </w:r>
      <w:proofErr w:type="spellEnd"/>
      <w:r>
        <w:rPr>
          <w:rFonts w:eastAsia="Times New Roman"/>
          <w:lang w:val="en-US"/>
        </w:rPr>
        <w:t xml:space="preserve"> (VSS – 754)</w:t>
      </w:r>
    </w:p>
    <w:p w14:paraId="374E2125" w14:textId="77777777" w:rsidR="00C84EA0" w:rsidRDefault="00C84EA0" w:rsidP="00C84EA0"/>
    <w:p w14:paraId="4B5A6667" w14:textId="77777777" w:rsidR="00C84EA0" w:rsidRDefault="00C84EA0" w:rsidP="00C84EA0">
      <w:pPr>
        <w:rPr>
          <w:rFonts w:ascii="Times New Roman" w:hAnsi="Times New Roman" w:cs="Times New Roman"/>
          <w:color w:val="000000"/>
          <w:sz w:val="24"/>
          <w:szCs w:val="24"/>
        </w:rPr>
      </w:pPr>
      <w:r>
        <w:rPr>
          <w:rFonts w:ascii="Times New Roman" w:eastAsia="Times New Roman" w:hAnsi="Times New Roman" w:cs="Times New Roman"/>
          <w:color w:val="000000"/>
          <w:shd w:val="clear" w:color="auto" w:fill="FFFFFF"/>
          <w:lang w:eastAsia="en-GB"/>
        </w:rPr>
        <w:t>Tieslietu ministrija ir izskatījusi Finanšu ministrijas precizēto </w:t>
      </w:r>
      <w:r>
        <w:rPr>
          <w:rFonts w:ascii="Times New Roman" w:eastAsia="Times New Roman" w:hAnsi="Times New Roman" w:cs="Times New Roman"/>
          <w:color w:val="000000"/>
          <w:bdr w:val="none" w:sz="0" w:space="0" w:color="auto" w:frame="1"/>
          <w:lang w:eastAsia="en-GB"/>
        </w:rPr>
        <w:t>likumprojektu ""Eiropas Savienības fondu 2021.-2027. gada plānošanas perioda vadības likums" (turpmāk – </w:t>
      </w:r>
      <w:r>
        <w:rPr>
          <w:rFonts w:ascii="Times New Roman" w:eastAsia="Times New Roman" w:hAnsi="Times New Roman" w:cs="Times New Roman"/>
          <w:color w:val="000000"/>
          <w:bdr w:val="none" w:sz="0" w:space="0" w:color="auto" w:frame="1"/>
          <w:shd w:val="clear" w:color="auto" w:fill="FFFFFF"/>
          <w:lang w:eastAsia="en-GB"/>
        </w:rPr>
        <w:t>likumprojekts) </w:t>
      </w:r>
      <w:r>
        <w:rPr>
          <w:rFonts w:ascii="Times New Roman" w:eastAsia="Times New Roman" w:hAnsi="Times New Roman" w:cs="Times New Roman"/>
          <w:color w:val="000000"/>
          <w:shd w:val="clear" w:color="auto" w:fill="FFFFFF"/>
          <w:lang w:eastAsia="en-GB"/>
        </w:rPr>
        <w:t>un ar to saistītos dokumentus un atbalsta tā virzību bez iebildumiem, vienlaikus izsakot šādus priekšlikumus:</w:t>
      </w:r>
      <w:r>
        <w:rPr>
          <w:rFonts w:ascii="Times New Roman" w:hAnsi="Times New Roman" w:cs="Times New Roman"/>
          <w:color w:val="000000"/>
        </w:rPr>
        <w:t> </w:t>
      </w:r>
    </w:p>
    <w:p w14:paraId="66174EB7" w14:textId="77777777" w:rsidR="00C84EA0" w:rsidRDefault="00C84EA0" w:rsidP="00C84EA0">
      <w:pPr>
        <w:pStyle w:val="NoSpacing"/>
        <w:ind w:firstLine="720"/>
        <w:jc w:val="both"/>
        <w:rPr>
          <w:color w:val="000000"/>
        </w:rPr>
      </w:pPr>
      <w:r>
        <w:rPr>
          <w:rFonts w:ascii="Times New Roman" w:hAnsi="Times New Roman" w:cs="Times New Roman"/>
          <w:color w:val="000000"/>
        </w:rPr>
        <w:t xml:space="preserve">1. Projekta 24. panta piektā daļa paredz, ka Ja projekta iesniegums iesniegts pēc projektu iesniegumu iesniegšanas beigu datuma, tas netiek vērtēts. </w:t>
      </w:r>
      <w:r>
        <w:rPr>
          <w:rFonts w:ascii="Times New Roman" w:hAnsi="Times New Roman" w:cs="Times New Roman"/>
          <w:color w:val="000000"/>
          <w:u w:val="single"/>
        </w:rPr>
        <w:t>Sadarbības iestāde par to informē projekta iesniedzēju</w:t>
      </w:r>
      <w:r>
        <w:rPr>
          <w:rFonts w:ascii="Times New Roman" w:hAnsi="Times New Roman" w:cs="Times New Roman"/>
          <w:color w:val="000000"/>
        </w:rPr>
        <w:t>. Ja šajā daļā minēto iemeslu dēļ projekta iesniegumu atsaka pieņemt un projekta iesniedzējs atteikumu pārsūdz tiesā, Administratīvās rajona tiesas nolēmums par attiecīgo jautājumu nav pārsūdzams.</w:t>
      </w:r>
      <w:r>
        <w:rPr>
          <w:rFonts w:ascii="Times New Roman" w:eastAsia="Calibri" w:hAnsi="Times New Roman" w:cs="Times New Roman"/>
          <w:color w:val="000000"/>
        </w:rPr>
        <w:t> </w:t>
      </w:r>
    </w:p>
    <w:p w14:paraId="27339F65" w14:textId="77777777" w:rsidR="00C84EA0" w:rsidRDefault="00C84EA0" w:rsidP="00C84EA0">
      <w:pPr>
        <w:pStyle w:val="NoSpacing"/>
        <w:ind w:firstLine="720"/>
        <w:jc w:val="both"/>
        <w:rPr>
          <w:color w:val="000000"/>
        </w:rPr>
      </w:pPr>
      <w:r>
        <w:rPr>
          <w:rFonts w:ascii="Times New Roman" w:hAnsi="Times New Roman" w:cs="Times New Roman"/>
          <w:color w:val="000000"/>
        </w:rPr>
        <w:t xml:space="preserve">Savukārt </w:t>
      </w:r>
      <w:r>
        <w:rPr>
          <w:rFonts w:ascii="Times New Roman" w:hAnsi="Times New Roman" w:cs="Times New Roman"/>
          <w:color w:val="000000"/>
          <w:shd w:val="clear" w:color="auto" w:fill="FFFFFF"/>
        </w:rPr>
        <w:t>p</w:t>
      </w:r>
      <w:r>
        <w:rPr>
          <w:rFonts w:ascii="Times New Roman" w:hAnsi="Times New Roman" w:cs="Times New Roman"/>
          <w:color w:val="000000"/>
        </w:rPr>
        <w:t xml:space="preserve">rojekta sākotnējās </w:t>
      </w:r>
      <w:r>
        <w:rPr>
          <w:rFonts w:ascii="Times New Roman" w:hAnsi="Times New Roman" w:cs="Times New Roman"/>
          <w:i/>
          <w:iCs/>
          <w:color w:val="000000"/>
        </w:rPr>
        <w:t>(</w:t>
      </w:r>
      <w:proofErr w:type="spellStart"/>
      <w:r>
        <w:rPr>
          <w:rFonts w:ascii="Times New Roman" w:hAnsi="Times New Roman" w:cs="Times New Roman"/>
          <w:i/>
          <w:iCs/>
          <w:color w:val="000000"/>
        </w:rPr>
        <w:t>ex-ante</w:t>
      </w:r>
      <w:proofErr w:type="spellEnd"/>
      <w:r>
        <w:rPr>
          <w:rFonts w:ascii="Times New Roman" w:hAnsi="Times New Roman" w:cs="Times New Roman"/>
          <w:i/>
          <w:iCs/>
          <w:color w:val="000000"/>
        </w:rPr>
        <w:t>)</w:t>
      </w:r>
      <w:r>
        <w:rPr>
          <w:rFonts w:ascii="Times New Roman" w:hAnsi="Times New Roman" w:cs="Times New Roman"/>
          <w:color w:val="000000"/>
        </w:rPr>
        <w:t xml:space="preserve"> ietekmes novērtējuma ziņojuma (turpmāk – anotācija) I sadaļas 2. punkta 30. apakšpunktā ir norādīts, ka, ja projekta iesniegums iesniegts pēc projektu iesniegumu iesniegšanas beigu datuma, tas netiek vērtēts. </w:t>
      </w:r>
      <w:r>
        <w:rPr>
          <w:rFonts w:ascii="Times New Roman" w:hAnsi="Times New Roman" w:cs="Times New Roman"/>
          <w:color w:val="000000"/>
          <w:u w:val="single"/>
        </w:rPr>
        <w:t>Sadarbības iestāde paziņo par lēmumu projekta iesniedzējam</w:t>
      </w:r>
      <w:r>
        <w:rPr>
          <w:rFonts w:ascii="Times New Roman" w:hAnsi="Times New Roman" w:cs="Times New Roman"/>
          <w:color w:val="000000"/>
        </w:rPr>
        <w:t xml:space="preserve">. Ja šajā daļā minēto iemeslu dēļ projekta iesniegumu atsaka pieņemt un projekta iesniedzējs atteikumu pārsūdz tiesā, Administratīvās rajona tiesas nolēmums par attiecīgo jautājumu nav pārsūdzams (likumprojekta 24. panta piektā daļa). </w:t>
      </w:r>
      <w:r>
        <w:rPr>
          <w:rFonts w:ascii="Times New Roman" w:hAnsi="Times New Roman" w:cs="Times New Roman"/>
          <w:color w:val="000000"/>
          <w:u w:val="single"/>
        </w:rPr>
        <w:t>Par šādu lēmumu projekta iesniedzējam tiek paziņots atbilstoši Paziņošanas likumā noteiktajai kārtībai</w:t>
      </w:r>
      <w:r>
        <w:rPr>
          <w:rFonts w:ascii="Times New Roman" w:hAnsi="Times New Roman" w:cs="Times New Roman"/>
          <w:color w:val="000000"/>
        </w:rPr>
        <w:t>. </w:t>
      </w:r>
    </w:p>
    <w:p w14:paraId="0276A22A" w14:textId="77777777" w:rsidR="00C84EA0" w:rsidRDefault="00C84EA0" w:rsidP="00C84EA0">
      <w:pPr>
        <w:pStyle w:val="NoSpacing"/>
        <w:ind w:firstLine="720"/>
        <w:jc w:val="both"/>
        <w:rPr>
          <w:color w:val="000000"/>
        </w:rPr>
      </w:pPr>
      <w:r>
        <w:rPr>
          <w:rFonts w:ascii="Times New Roman" w:hAnsi="Times New Roman" w:cs="Times New Roman"/>
          <w:color w:val="000000"/>
        </w:rPr>
        <w:t xml:space="preserve">Vēršam uzmanību uz to, ka Administratīvā procesa likuma 70. panta pirmā un otrā daļa noteic, ka, ja ārējā normatīvajā aktā vai pašā administratīvajā aktā nav noteikts citādi, </w:t>
      </w:r>
      <w:r>
        <w:rPr>
          <w:rFonts w:ascii="Times New Roman" w:hAnsi="Times New Roman" w:cs="Times New Roman"/>
          <w:color w:val="000000"/>
          <w:u w:val="single"/>
        </w:rPr>
        <w:t>administratīvais akts stājas spēkā ar brīdi, kad tas paziņots adresātam,</w:t>
      </w:r>
      <w:r>
        <w:rPr>
          <w:rFonts w:ascii="Times New Roman" w:hAnsi="Times New Roman" w:cs="Times New Roman"/>
          <w:color w:val="000000"/>
        </w:rPr>
        <w:t xml:space="preserve"> un </w:t>
      </w:r>
      <w:r>
        <w:rPr>
          <w:rFonts w:ascii="Times New Roman" w:hAnsi="Times New Roman" w:cs="Times New Roman"/>
          <w:color w:val="000000"/>
          <w:u w:val="single"/>
        </w:rPr>
        <w:t xml:space="preserve">administratīvo aktu paziņo adresātam atbilstoši </w:t>
      </w:r>
      <w:hyperlink r:id="rId4" w:tgtFrame="_blank" w:history="1">
        <w:r>
          <w:rPr>
            <w:rStyle w:val="Hyperlink"/>
            <w:rFonts w:ascii="Times New Roman" w:hAnsi="Times New Roman" w:cs="Times New Roman"/>
          </w:rPr>
          <w:t>Paziņošanas likumam</w:t>
        </w:r>
      </w:hyperlink>
      <w:r>
        <w:rPr>
          <w:rFonts w:ascii="Times New Roman" w:hAnsi="Times New Roman" w:cs="Times New Roman"/>
          <w:color w:val="000000"/>
        </w:rPr>
        <w:t>. Savukārt ne no projekta 25. panta otrajā daļā paredzētā regulējuma, ne no anotācijas I sadaļas 2. punkta 30. apakšpunktā ietvertās informācijas nav skaidrs, ko paziņos projekta iesniedzējam. </w:t>
      </w:r>
    </w:p>
    <w:p w14:paraId="1C37C8C7" w14:textId="77777777" w:rsidR="00C84EA0" w:rsidRDefault="00C84EA0" w:rsidP="00C84EA0">
      <w:pPr>
        <w:pStyle w:val="NoSpacing"/>
        <w:ind w:firstLine="720"/>
        <w:jc w:val="both"/>
        <w:rPr>
          <w:color w:val="000000"/>
        </w:rPr>
      </w:pPr>
      <w:r>
        <w:rPr>
          <w:rFonts w:ascii="Times New Roman" w:hAnsi="Times New Roman" w:cs="Times New Roman"/>
          <w:color w:val="000000"/>
        </w:rPr>
        <w:t>Ievērojot minēto, lūdzam izvērtēt projekta 25. panta piektajā daļā paredzēto regulējumu un nepieciešamības gadījumā precizēt to, kā arī papildināt anotācijas I sadaļas 2. punkta 30. apakšpunktu ar atbilstošu skaidrojumu. </w:t>
      </w:r>
    </w:p>
    <w:p w14:paraId="231E3185" w14:textId="77777777" w:rsidR="00C84EA0" w:rsidRDefault="00C84EA0" w:rsidP="00C84EA0">
      <w:pPr>
        <w:pStyle w:val="NoSpacing"/>
        <w:ind w:firstLine="720"/>
        <w:jc w:val="both"/>
        <w:rPr>
          <w:color w:val="000000"/>
        </w:rPr>
      </w:pPr>
      <w:r>
        <w:rPr>
          <w:rFonts w:ascii="Times New Roman" w:hAnsi="Times New Roman" w:cs="Times New Roman"/>
          <w:color w:val="000000"/>
        </w:rPr>
        <w:t xml:space="preserve">2. Projekta 27. panta trešā daļa noteic, ka </w:t>
      </w:r>
      <w:r>
        <w:rPr>
          <w:rFonts w:ascii="Times New Roman" w:hAnsi="Times New Roman" w:cs="Times New Roman"/>
          <w:color w:val="000000"/>
          <w:u w:val="single"/>
        </w:rPr>
        <w:t>lēmuma vai atzinuma apstrīdēšana vai pārsūdzēšana neaptur tā darbību</w:t>
      </w:r>
      <w:r>
        <w:rPr>
          <w:rFonts w:ascii="Times New Roman" w:hAnsi="Times New Roman" w:cs="Times New Roman"/>
          <w:color w:val="000000"/>
        </w:rPr>
        <w:t>. </w:t>
      </w:r>
    </w:p>
    <w:p w14:paraId="585E80C6" w14:textId="77777777" w:rsidR="00C84EA0" w:rsidRDefault="00C84EA0" w:rsidP="00C84EA0">
      <w:pPr>
        <w:pStyle w:val="NoSpacing"/>
        <w:ind w:firstLine="720"/>
        <w:jc w:val="both"/>
        <w:rPr>
          <w:color w:val="000000"/>
        </w:rPr>
      </w:pPr>
      <w:r>
        <w:rPr>
          <w:rFonts w:ascii="Times New Roman" w:hAnsi="Times New Roman" w:cs="Times New Roman"/>
          <w:color w:val="000000"/>
        </w:rPr>
        <w:t xml:space="preserve">Savukārt anotācijas I sadaļas 2. punkta 32. apakšpunktā ir norādīts, ka projektā līdzīgi kā Eiropas Savienības fondu 2014.-2020. gada plānošanas periodā paredzēts, ka lēmuma vai atzinuma apstrīdēšana vai pārsūdzēšanas neaptur tā darbību (likumprojekta 27. panta trešā daļa). </w:t>
      </w:r>
      <w:r>
        <w:rPr>
          <w:rFonts w:ascii="Times New Roman" w:eastAsia="Calibri" w:hAnsi="Times New Roman" w:cs="Times New Roman"/>
          <w:color w:val="000000"/>
          <w:u w:val="single"/>
        </w:rPr>
        <w:t>Minētais nozīmē, ka apstrīdēšanas un pārsūdzēšanas gadījumā pieņemtā administratīvā akta tiesiskais stāvoklis nemainās. Tāpat jāvērš uzmanība, ka Eiropas Savienības fondu plānošanas mērķi, rādītāji ir limitēti laikā</w:t>
      </w:r>
      <w:r>
        <w:rPr>
          <w:rFonts w:ascii="Times New Roman" w:eastAsia="Calibri" w:hAnsi="Times New Roman" w:cs="Times New Roman"/>
          <w:color w:val="000000"/>
        </w:rPr>
        <w:t>.</w:t>
      </w:r>
      <w:r>
        <w:rPr>
          <w:rFonts w:ascii="Times New Roman" w:eastAsia="Times New Roman" w:hAnsi="Times New Roman" w:cs="Times New Roman"/>
          <w:color w:val="000000"/>
        </w:rPr>
        <w:t> </w:t>
      </w:r>
    </w:p>
    <w:p w14:paraId="3C7F1461" w14:textId="77777777" w:rsidR="00C84EA0" w:rsidRDefault="00C84EA0" w:rsidP="00C84EA0">
      <w:pPr>
        <w:pStyle w:val="NoSpacing"/>
        <w:ind w:firstLine="720"/>
        <w:jc w:val="both"/>
        <w:rPr>
          <w:color w:val="000000"/>
        </w:rPr>
      </w:pPr>
      <w:r>
        <w:rPr>
          <w:rFonts w:ascii="Times New Roman" w:hAnsi="Times New Roman" w:cs="Times New Roman"/>
          <w:color w:val="000000"/>
        </w:rPr>
        <w:t>Vēršam uzmanību uz to, ka projekta 27. panta trešajā daļā paredzētais regulējums ir izņēmums no Administratīvā procesa likuma vispārējā regulējuma par to, ka lēmuma apstrīdēšana vai pārsūdzēšana aptur tā darbību. Administratīvā procesa likuma 185. panta ceturtā daļa paredz izņēmuma gadījumus, tomēr ir nepieciešams pamatojums, kādēļ projektā ir nepieciešams šis izņēmums. </w:t>
      </w:r>
    </w:p>
    <w:p w14:paraId="723DAF04" w14:textId="77777777" w:rsidR="00C84EA0" w:rsidRDefault="00C84EA0" w:rsidP="00C84EA0">
      <w:pPr>
        <w:pStyle w:val="NoSpacing"/>
        <w:ind w:firstLine="720"/>
        <w:jc w:val="both"/>
        <w:rPr>
          <w:color w:val="000000"/>
        </w:rPr>
      </w:pPr>
      <w:r>
        <w:rPr>
          <w:rFonts w:ascii="Times New Roman" w:hAnsi="Times New Roman" w:cs="Times New Roman"/>
          <w:color w:val="000000"/>
        </w:rPr>
        <w:t>Ievērojot minēto, lūdzam papildināt anotācijas I sadaļas 2. punkta 32. apakšpunktu ar atbilstošu skaidrojumu. </w:t>
      </w:r>
    </w:p>
    <w:p w14:paraId="43702E3B" w14:textId="77777777" w:rsidR="00C84EA0" w:rsidRDefault="00C84EA0" w:rsidP="00C84EA0">
      <w:pPr>
        <w:rPr>
          <w:rFonts w:ascii="Times New Roman" w:eastAsia="Times New Roman" w:hAnsi="Times New Roman" w:cs="Times New Roman"/>
          <w:color w:val="000000"/>
          <w:sz w:val="20"/>
          <w:szCs w:val="20"/>
        </w:rPr>
      </w:pPr>
    </w:p>
    <w:p w14:paraId="41AA57FD" w14:textId="77777777" w:rsidR="00C84EA0" w:rsidRDefault="00C84EA0" w:rsidP="00C84EA0">
      <w:pPr>
        <w:rPr>
          <w:rFonts w:ascii="Times New Roman" w:eastAsia="Times New Roman" w:hAnsi="Times New Roman" w:cs="Times New Roman"/>
          <w:color w:val="000000"/>
          <w:sz w:val="20"/>
          <w:szCs w:val="20"/>
        </w:rPr>
      </w:pPr>
    </w:p>
    <w:p w14:paraId="3EFE547C" w14:textId="77777777" w:rsidR="00C84EA0" w:rsidRDefault="00C84EA0" w:rsidP="00C84EA0">
      <w:pPr>
        <w:pStyle w:val="NormalWeb"/>
        <w:shd w:val="clear" w:color="auto" w:fill="FFFFFF"/>
        <w:rPr>
          <w:color w:val="201F1E"/>
        </w:rPr>
      </w:pPr>
      <w:r>
        <w:rPr>
          <w:rFonts w:ascii="Times New Roman" w:hAnsi="Times New Roman" w:cs="Times New Roman"/>
          <w:b/>
          <w:bCs/>
          <w:color w:val="201F1E"/>
        </w:rPr>
        <w:t>Ar cieņu</w:t>
      </w:r>
    </w:p>
    <w:p w14:paraId="3DFBEF24" w14:textId="77777777" w:rsidR="00C84EA0" w:rsidRDefault="00C84EA0" w:rsidP="00C84EA0">
      <w:pPr>
        <w:pStyle w:val="NormalWeb"/>
        <w:shd w:val="clear" w:color="auto" w:fill="FFFFFF"/>
        <w:rPr>
          <w:color w:val="201F1E"/>
        </w:rPr>
      </w:pPr>
    </w:p>
    <w:p w14:paraId="0512069B" w14:textId="77777777" w:rsidR="00C84EA0" w:rsidRDefault="00C84EA0" w:rsidP="00C84EA0">
      <w:pPr>
        <w:pStyle w:val="NormalWeb"/>
        <w:shd w:val="clear" w:color="auto" w:fill="FFFFFF"/>
        <w:rPr>
          <w:color w:val="201F1E"/>
        </w:rPr>
      </w:pPr>
      <w:r>
        <w:rPr>
          <w:rFonts w:ascii="Times New Roman" w:hAnsi="Times New Roman" w:cs="Times New Roman"/>
          <w:b/>
          <w:bCs/>
          <w:color w:val="201F1E"/>
        </w:rPr>
        <w:t>Linda Bernāne</w:t>
      </w:r>
    </w:p>
    <w:p w14:paraId="1F942993"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Tieslietu ministrijas</w:t>
      </w:r>
    </w:p>
    <w:p w14:paraId="120BA7E6"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Valststiesību departamenta</w:t>
      </w:r>
    </w:p>
    <w:p w14:paraId="6434DE92"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Starptautisko publisko tiesību nodaļas </w:t>
      </w:r>
    </w:p>
    <w:p w14:paraId="5B4B73D5"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Juriste (ES fondu jautājumos)</w:t>
      </w:r>
    </w:p>
    <w:p w14:paraId="78A7A8B0"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Tālrunis: 67036983</w:t>
      </w:r>
    </w:p>
    <w:p w14:paraId="52FF60DF"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E-pasts: </w:t>
      </w:r>
      <w:hyperlink r:id="rId5" w:tgtFrame="_blank" w:history="1">
        <w:r>
          <w:rPr>
            <w:rStyle w:val="Hyperlink"/>
            <w:rFonts w:ascii="Times New Roman" w:hAnsi="Times New Roman" w:cs="Times New Roman"/>
            <w:sz w:val="20"/>
            <w:szCs w:val="20"/>
          </w:rPr>
          <w:t>Linda.Bernane@tm.gov.lv</w:t>
        </w:r>
      </w:hyperlink>
    </w:p>
    <w:p w14:paraId="2A342B72" w14:textId="77777777" w:rsidR="00C84EA0" w:rsidRDefault="00C84EA0" w:rsidP="00C84EA0">
      <w:pPr>
        <w:rPr>
          <w:rFonts w:eastAsia="Times New Roman"/>
          <w:color w:val="000000"/>
          <w:sz w:val="24"/>
          <w:szCs w:val="24"/>
        </w:rPr>
      </w:pPr>
      <w:r>
        <w:rPr>
          <w:rFonts w:ascii="Times New Roman" w:eastAsia="Times New Roman" w:hAnsi="Times New Roman" w:cs="Times New Roman"/>
          <w:color w:val="000000"/>
          <w:sz w:val="20"/>
          <w:szCs w:val="20"/>
        </w:rPr>
        <w:t>Atrašanās vieta: Raiņa bulvārī 15, Rīgā, LV-1050.</w:t>
      </w:r>
      <w:r>
        <w:rPr>
          <w:rFonts w:eastAsia="Times New Roman"/>
          <w:color w:val="000000"/>
          <w:sz w:val="24"/>
          <w:szCs w:val="24"/>
        </w:rPr>
        <w:br/>
      </w:r>
      <w:r>
        <w:rPr>
          <w:rFonts w:ascii="Times New Roman" w:eastAsia="Times New Roman" w:hAnsi="Times New Roman" w:cs="Times New Roman"/>
          <w:color w:val="000000"/>
          <w:sz w:val="20"/>
          <w:szCs w:val="20"/>
        </w:rPr>
        <w:t>Juridiskā adrese: Brīvības bulvārī 36, Rīgā, LV-1536.</w:t>
      </w:r>
      <w:r>
        <w:rPr>
          <w:rFonts w:eastAsia="Times New Roman"/>
          <w:color w:val="000000"/>
          <w:sz w:val="24"/>
          <w:szCs w:val="24"/>
        </w:rPr>
        <w:t xml:space="preserve"> </w:t>
      </w:r>
    </w:p>
    <w:p w14:paraId="2E73857D" w14:textId="77777777" w:rsidR="00C84EA0" w:rsidRDefault="00C84EA0" w:rsidP="00C84EA0">
      <w:pPr>
        <w:pStyle w:val="NormalWeb"/>
        <w:shd w:val="clear" w:color="auto" w:fill="FFFFFF"/>
        <w:rPr>
          <w:color w:val="201F1E"/>
        </w:rPr>
      </w:pPr>
      <w:r>
        <w:rPr>
          <w:rFonts w:ascii="Times New Roman" w:hAnsi="Times New Roman" w:cs="Times New Roman"/>
          <w:color w:val="201F1E"/>
          <w:sz w:val="20"/>
          <w:szCs w:val="20"/>
        </w:rPr>
        <w:t> </w:t>
      </w:r>
    </w:p>
    <w:p w14:paraId="20D4D46B" w14:textId="5EA9645B" w:rsidR="00C84EA0" w:rsidRDefault="00C84EA0" w:rsidP="00C84EA0">
      <w:pPr>
        <w:rPr>
          <w:rFonts w:eastAsia="Times New Roman"/>
          <w:color w:val="000000"/>
          <w:sz w:val="24"/>
          <w:szCs w:val="24"/>
        </w:rPr>
      </w:pPr>
      <w:r>
        <w:rPr>
          <w:rFonts w:eastAsia="Times New Roman"/>
          <w:noProof/>
          <w:color w:val="000000"/>
          <w:sz w:val="24"/>
          <w:szCs w:val="24"/>
        </w:rPr>
        <w:drawing>
          <wp:inline distT="0" distB="0" distL="0" distR="0" wp14:anchorId="1336E7E2" wp14:editId="637D72C9">
            <wp:extent cx="1257300" cy="990600"/>
            <wp:effectExtent l="0" t="0" r="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14:paraId="1FE5D5B4" w14:textId="77777777" w:rsidR="00C84EA0" w:rsidRDefault="00C84EA0" w:rsidP="00C84EA0">
      <w:pPr>
        <w:rPr>
          <w:rFonts w:eastAsia="Times New Roman"/>
          <w:color w:val="000000"/>
          <w:sz w:val="24"/>
          <w:szCs w:val="24"/>
        </w:rPr>
      </w:pPr>
    </w:p>
    <w:p w14:paraId="4F442325" w14:textId="5C17EECA" w:rsidR="00C84EA0" w:rsidRDefault="00C84EA0" w:rsidP="00C84EA0">
      <w:pPr>
        <w:rPr>
          <w:rFonts w:eastAsia="Times New Roman"/>
          <w:color w:val="000000"/>
          <w:sz w:val="24"/>
          <w:szCs w:val="24"/>
        </w:rPr>
      </w:pPr>
      <w:r>
        <w:rPr>
          <w:rFonts w:eastAsia="Times New Roman"/>
          <w:noProof/>
          <w:color w:val="000000"/>
          <w:sz w:val="24"/>
          <w:szCs w:val="24"/>
        </w:rPr>
        <w:drawing>
          <wp:inline distT="0" distB="0" distL="0" distR="0" wp14:anchorId="3C6A7336" wp14:editId="55E20CF5">
            <wp:extent cx="1219200" cy="666750"/>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666750"/>
                    </a:xfrm>
                    <a:prstGeom prst="rect">
                      <a:avLst/>
                    </a:prstGeom>
                    <a:noFill/>
                    <a:ln>
                      <a:noFill/>
                    </a:ln>
                  </pic:spPr>
                </pic:pic>
              </a:graphicData>
            </a:graphic>
          </wp:inline>
        </w:drawing>
      </w:r>
    </w:p>
    <w:p w14:paraId="04052A99" w14:textId="77777777" w:rsidR="00C84EA0" w:rsidRDefault="00C84EA0" w:rsidP="00C84EA0">
      <w:pPr>
        <w:rPr>
          <w:rFonts w:eastAsia="Times New Roman"/>
        </w:rPr>
      </w:pPr>
    </w:p>
    <w:p w14:paraId="3B52A07A" w14:textId="2DBED403" w:rsidR="004D2CBB" w:rsidRDefault="004D2CBB"/>
    <w:p w14:paraId="0CD84DEF" w14:textId="6132914E" w:rsidR="00C84EA0" w:rsidRPr="00C84EA0" w:rsidRDefault="00C84EA0" w:rsidP="00C84EA0"/>
    <w:p w14:paraId="6BFD421D" w14:textId="6DDE3823" w:rsidR="00C84EA0" w:rsidRPr="00C84EA0" w:rsidRDefault="00C84EA0" w:rsidP="00C84EA0"/>
    <w:p w14:paraId="011C7C3F" w14:textId="3CD73529" w:rsidR="00C84EA0" w:rsidRPr="00C84EA0" w:rsidRDefault="00C84EA0" w:rsidP="00C84EA0"/>
    <w:p w14:paraId="271F292F" w14:textId="717BB35B" w:rsidR="00C84EA0" w:rsidRPr="00C84EA0" w:rsidRDefault="00C84EA0" w:rsidP="00C84EA0"/>
    <w:p w14:paraId="319CAE9C" w14:textId="62E35695" w:rsidR="00C84EA0" w:rsidRPr="00C84EA0" w:rsidRDefault="00C84EA0" w:rsidP="00C84EA0"/>
    <w:p w14:paraId="467D9002" w14:textId="5A0A7C8F" w:rsidR="00C84EA0" w:rsidRPr="00C84EA0" w:rsidRDefault="00C84EA0" w:rsidP="00C84EA0"/>
    <w:p w14:paraId="5F596000" w14:textId="02C4C8FB" w:rsidR="00C84EA0" w:rsidRPr="00C84EA0" w:rsidRDefault="00C84EA0" w:rsidP="00C84EA0"/>
    <w:p w14:paraId="525EE4A7" w14:textId="1D76BF9A" w:rsidR="00C84EA0" w:rsidRPr="00C84EA0" w:rsidRDefault="00C84EA0" w:rsidP="00C84EA0"/>
    <w:p w14:paraId="6FA134C2" w14:textId="1671F110" w:rsidR="00C84EA0" w:rsidRPr="00C84EA0" w:rsidRDefault="00C84EA0" w:rsidP="00C84EA0"/>
    <w:p w14:paraId="2C39AC95" w14:textId="3B9EABB1" w:rsidR="00C84EA0" w:rsidRPr="00C84EA0" w:rsidRDefault="00C84EA0" w:rsidP="00C84EA0"/>
    <w:p w14:paraId="512D7DCA" w14:textId="593F9C14" w:rsidR="00C84EA0" w:rsidRPr="00C84EA0" w:rsidRDefault="00C84EA0" w:rsidP="00C84EA0"/>
    <w:p w14:paraId="7853821B" w14:textId="36B333A8" w:rsidR="00C84EA0" w:rsidRPr="00C84EA0" w:rsidRDefault="00C84EA0" w:rsidP="00C84EA0"/>
    <w:p w14:paraId="13D17299" w14:textId="652624C2" w:rsidR="00C84EA0" w:rsidRPr="00C84EA0" w:rsidRDefault="00C84EA0" w:rsidP="00C84EA0"/>
    <w:p w14:paraId="035D03C4" w14:textId="22662F27" w:rsidR="00C84EA0" w:rsidRPr="00C84EA0" w:rsidRDefault="00C84EA0" w:rsidP="00C84EA0"/>
    <w:p w14:paraId="452BA071" w14:textId="35B6EE83" w:rsidR="00C84EA0" w:rsidRPr="00C84EA0" w:rsidRDefault="00C84EA0" w:rsidP="00C84EA0"/>
    <w:p w14:paraId="45E8DACD" w14:textId="111EC1B1" w:rsidR="00C84EA0" w:rsidRPr="00C84EA0" w:rsidRDefault="00C84EA0" w:rsidP="00C84EA0"/>
    <w:p w14:paraId="63F96742" w14:textId="71FB4583" w:rsidR="00C84EA0" w:rsidRPr="00C84EA0" w:rsidRDefault="00C84EA0" w:rsidP="00C84EA0"/>
    <w:p w14:paraId="4FA69A11" w14:textId="4571522C" w:rsidR="00C84EA0" w:rsidRPr="00C84EA0" w:rsidRDefault="00C84EA0" w:rsidP="00C84EA0"/>
    <w:p w14:paraId="276A2D37" w14:textId="2F55588B" w:rsidR="00C84EA0" w:rsidRDefault="00C84EA0" w:rsidP="00C84EA0"/>
    <w:p w14:paraId="02E157BB" w14:textId="77777777" w:rsidR="00C84EA0" w:rsidRDefault="00C84EA0" w:rsidP="00C84EA0">
      <w:pPr>
        <w:ind w:firstLine="720"/>
      </w:pPr>
    </w:p>
    <w:p w14:paraId="0E9A0568" w14:textId="77777777" w:rsidR="00C84EA0" w:rsidRDefault="00C84EA0" w:rsidP="00C84EA0">
      <w:pPr>
        <w:ind w:firstLine="720"/>
      </w:pPr>
    </w:p>
    <w:p w14:paraId="1067756B" w14:textId="77777777" w:rsidR="00C84EA0" w:rsidRDefault="00C84EA0" w:rsidP="00C84EA0">
      <w:pPr>
        <w:ind w:firstLine="720"/>
      </w:pPr>
    </w:p>
    <w:p w14:paraId="45257B7B" w14:textId="77777777" w:rsidR="00C84EA0" w:rsidRDefault="00C84EA0" w:rsidP="00C84EA0">
      <w:pPr>
        <w:ind w:firstLine="720"/>
      </w:pPr>
    </w:p>
    <w:p w14:paraId="53A475C9" w14:textId="77777777" w:rsidR="00C84EA0" w:rsidRDefault="00C84EA0" w:rsidP="00C84EA0">
      <w:pPr>
        <w:ind w:firstLine="720"/>
      </w:pPr>
    </w:p>
    <w:p w14:paraId="3BE1412E" w14:textId="77777777" w:rsidR="00C84EA0" w:rsidRDefault="00C84EA0" w:rsidP="00C84EA0">
      <w:pPr>
        <w:ind w:firstLine="720"/>
      </w:pPr>
    </w:p>
    <w:p w14:paraId="302438D8" w14:textId="77777777" w:rsidR="00C84EA0" w:rsidRDefault="00C84EA0" w:rsidP="00C84EA0">
      <w:pPr>
        <w:ind w:firstLine="720"/>
      </w:pPr>
    </w:p>
    <w:p w14:paraId="7F901B8B" w14:textId="77777777" w:rsidR="00C84EA0" w:rsidRDefault="00C84EA0" w:rsidP="00C84EA0">
      <w:pPr>
        <w:ind w:firstLine="720"/>
      </w:pPr>
    </w:p>
    <w:p w14:paraId="2E344DCF" w14:textId="77777777" w:rsidR="00C84EA0" w:rsidRDefault="00C84EA0" w:rsidP="00C84EA0">
      <w:pPr>
        <w:ind w:firstLine="720"/>
      </w:pPr>
    </w:p>
    <w:p w14:paraId="7832A3DC" w14:textId="61F48C16" w:rsidR="00C84EA0" w:rsidRPr="00C84EA0" w:rsidRDefault="00C84EA0" w:rsidP="00C84EA0">
      <w:pPr>
        <w:ind w:firstLine="720"/>
      </w:pPr>
      <w:r>
        <w:t>TM_050122_Likums</w:t>
      </w:r>
    </w:p>
    <w:sectPr w:rsidR="00C84EA0" w:rsidRPr="00C84EA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A0"/>
    <w:rsid w:val="004D2CBB"/>
    <w:rsid w:val="005A65FB"/>
    <w:rsid w:val="00C84E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089F9"/>
  <w15:chartTrackingRefBased/>
  <w15:docId w15:val="{5BA5380A-95B9-418D-881C-E5AAEF2FC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EA0"/>
    <w:pPr>
      <w:spacing w:after="0" w:line="240" w:lineRule="auto"/>
    </w:pPr>
    <w:rPr>
      <w:rFonts w:ascii="Calibri" w:hAnsi="Calibri" w:cs="Calibri"/>
      <w:sz w:val="22"/>
      <w:szCs w:val="2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4EA0"/>
    <w:rPr>
      <w:color w:val="0000FF"/>
      <w:u w:val="single"/>
    </w:rPr>
  </w:style>
  <w:style w:type="paragraph" w:styleId="NormalWeb">
    <w:name w:val="Normal (Web)"/>
    <w:basedOn w:val="Normal"/>
    <w:uiPriority w:val="99"/>
    <w:semiHidden/>
    <w:unhideWhenUsed/>
    <w:rsid w:val="00C84EA0"/>
  </w:style>
  <w:style w:type="paragraph" w:styleId="NoSpacing">
    <w:name w:val="No Spacing"/>
    <w:basedOn w:val="Normal"/>
    <w:uiPriority w:val="1"/>
    <w:qFormat/>
    <w:rsid w:val="00C84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69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Lita.Podniece@tm.gov.lv" TargetMode="External"/><Relationship Id="rId4" Type="http://schemas.openxmlformats.org/officeDocument/2006/relationships/hyperlink" Target="https://likumi.lv/ta/id/212499-pazinosanas-likum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2596</Words>
  <Characters>1480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Tieslietu ministrijas atzinums</dc:title>
  <dc:subject/>
  <dc:creator>Evita Vamža</dc:creator>
  <cp:keywords/>
  <dc:description/>
  <cp:lastModifiedBy>Evita Vamža</cp:lastModifiedBy>
  <cp:revision>2</cp:revision>
  <dcterms:created xsi:type="dcterms:W3CDTF">2022-01-05T09:00:00Z</dcterms:created>
  <dcterms:modified xsi:type="dcterms:W3CDTF">2022-01-09T21:51:00Z</dcterms:modified>
</cp:coreProperties>
</file>