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"Patkuļi"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anotācijas satura redzams, ka Rail Baltica projekta īstenošanas vajadzībām nepieciešams atsavināt Nekustamā īpašuma īpašniekam piederoša nekustamā īpašuma "Patkuļi" Salacgrīvas pagastā, Limbažu novadā (nekustamā īpašuma kadastra Nr. 6672 004 0060) (turpmāk – Nekustamais īpašums) sastāvā esošo zemes vienību (zemes vienības kadastra apzīmējums 6672 004 0275) 0,182 ha platībā un zemes vienības (zemes vienības kadastra apzīmējums 6672 004 0060) daļu 4,1914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rīkojuma projektā pievienoto zemesgrāmatas izdruku </w:t>
            </w:r>
            <w:r w:rsidR="00000000" w:rsidRPr="00000000" w:rsidDel="00000000">
              <w:rPr>
                <w:u w:val="single"/>
                <w:rtl w:val="0"/>
              </w:rPr>
              <w:t xml:space="preserve">nekustamajam īpašumam ir nostiprināta ķīlas tiesība uztura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nav minēta informācija, ka uztura ņēmējs ir informēts par atsavināšanas procesu Rail Baltica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saskaņā ar Sabiedrības vajadzībām nepieciešamā nekustamā īpašuma atsavināšanas likuma  7.1 pantu, atsavinot nekustamo īpašumu sabiedrības vajadzībām, ievēro arī tās personas intereses, kurai par labu attiecībā uz nekustamo īpašumu ir nostiprināta ķīlas tiesība. Nekustamā īpašuma atsavināšana sabiedrības vajadzībām pati par sevi nevar būt par pamatu, lai prasītu to saistību pirmstermiņa izpildi, kuras nodrošinātas ar attiecīgo nekustamo īpašumu, vai lai uzskatītu, ka minētās saistības tiek pārkāptas.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uztura līgumu viena puse nodod otrai naudā vai graudā kādu mantisku vērtību, par ko otrā tai dod uzturu, kamēr uztura ņēmējs dzīvo, ja vien par šā pienākuma ilgumu nav norunāts citādi (Civillikuma 2096.pants). Ķīlas tiesību (Civillikuma 2100.pants) mērķis ir ierobežot Zemesgabala ieguvējus bez uztura saņēmēju piekrišanas pārdot vai citādi atsavināt nekustamo īpašumu. Turklāt līguma darbības laikā pastāv iespēja nekustamo īpašumu atprasīt, ja uztura devēji nepilda savas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skaidrot, kā tiks nodrošinātas uztura ņēmēja tiesības vai institūcija plāno tās saistības, kas izriet no 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zemesgrāmatā Nekustamajam īpašumam ir nostiprināta ķīlas tiesība uztura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 ņēmējs kā iepriekšējais Nekustamā īpašuma īpašnieks ir informēts ar paziņojumu par kultūras vērtību apzināšanu Nekustamajā īpašumā un ar paziņojumu par projektēšanas darbiem. Savukārt kā ķīlas tiesības devējs ir informēts par Nekustamā īpašuma atsavināšanu. Uztura ņēmējs nav sniedzis atbildi uz nosūtītajiem paziņojumiem.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12.</w:t>
            </w:r>
            <w:r w:rsidR="00000000" w:rsidRPr="00000000" w:rsidDel="00000000">
              <w:rPr>
                <w:vertAlign w:val="superscript"/>
                <w:rtl w:val="0"/>
              </w:rPr>
              <w:t xml:space="preserve">1 </w:t>
            </w:r>
            <w:r w:rsidR="00000000" w:rsidRPr="00000000" w:rsidDel="00000000">
              <w:rPr>
                <w:rtl w:val="0"/>
              </w:rPr>
              <w:t xml:space="preserve">pantam, nostiprinot zemesgrāmatā īpašuma tiesības uz nekustamo īpašumu, kas atsavināts, pamatojoties uz līgumu, zemesgrāmatu nodaļas tiesnesis ķīlas tiesības atzīmi un ar to saistīto aizlieguma atzīmi dzēš bez personas, kurai par labu attiecībā uz nekustamo īpašumu ir nostiprināta ķīlas tiesība, piekrišanas. Nostiprinot īpašuma tiesības uz atsavināmo Nekustamā īpašuma daļu zemesgrāmatā uz valsts vārda Satiksmes ministrijas personā, ķīlas tiesība tiks dzēsta attiecībā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 Saskaņā ar Likuma 16. panta pirmo daļu, nostiprinot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2. punktā norādīto, aicinām tiesiskai skaidrībai papildināt anotāciju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 dzelzceļa un ceļa nodalījuma joslās nav atsavināma privātpersonām saskaņā ar spēkā esošajiem tiesību aktiem, Kadastra informācijas sistēmā reģistrētā atzīme "starpgabals" nekādi neietekmē vai neierobežo turpmāko rīcību ar šo zemes vienību pēc tās atsavināšanas."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norādot, ņemot vērā, ka zeme dzelzceļa un ceļa nodalījuma joslās nav atsavināma privātpersonām saskaņā ar spēkā esošajiem tiesību aktiem, Kadastra informācijas sistēmā reģistrētā atzīme "starpgabals" nekādi neietekmē vai neierobežo turpmāko rīcību ar šo zemes vienību pēc tās atsavināšanas.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atsavināmās zemes vienības ar kadastra apzīmējumu 6672 004 0275 teritorijā ir reģistrēta atzīme par starpgabalu (0,182 ha). Tomēr anotācijā nav sniegta informācija par šīs atzīmes ietekmi uz minētās zemes vienības turpmāko izmantošanu pēc tās atsavināšanas. Lai nodrošinātu pilnvērtīgu informāciju un skaidrību par zemes izmantošanas iespējām nākotnē, lūdzu papildināt anotāciju ar detalizētu skaidrojumu par starpgabala statusu un tā ietekmi uz zemes vienības izmantošanas nosacījumiem pēc atsavināšanas.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norādīts, ka zemes vienība ar kadastra apzīmējumu 6672 004 0275 visā tās platībā (0,182 ha) tiek atsavināta sabiedrības vajadzībām un saskaņā ar Rail Baltica projekta tehniskajiem risinājumiem tā ir paredzēta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sabiedrības ar ierobežotu atbildību "EIROPAS DZELZCEĻA LĪNIJAS" rīcībā nav informācija uz kāda tiesiskā pamata Kadastra informācijas sistēmā zemes vienībai ar kadastra apzīmējumu 6672 004 0275 ir veikta atzīme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zeme dzelzceļa un ceļa nodalījuma joslās nav atsavināma privātpersonām (likumiskais aizliegums), tad Kadastra informācijas sistēmā reģistrētā atzīme "starpgabals" nekādi neietekmē vai ierobežo šīs zemes vienības turpmāko rīcību pēc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nekustamā īpašuma atsavināmā daļa atrodas dabas parka dabas parka zonas teritorijā, lūdzam anotāciju papildināt ar skaidrojumu, ka pēc nekustamā īpašuma atsavināšanas attiecībā uz tā turpmāko izmantošanu ievērojami arī Ministru kabineta 2010. gada 16. marta noteikumos Nr.264 "Īpaši aizsargājamo dabas teritoriju vispārējie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norādot, ka pēc nekustamā īpašuma atsavināšanas attiecībā uz tā turpmāko izmantošanu būs ievērojami vides un dabas resursu aizsardzības normatīvajos aktos noteiktie ierobežojumi, kā arī papildināta anotācija, skaidrojot kā atsavināšanai paredzētās nekustamā īpašuma daļas  turpmāko izmantošanu ietekmēs minētie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nekustamā īpašuma atsavināmā daļa atrodas biosfēras rezervāta neitrālās zonas teritorijā, lūdzam anotāciju papildināt ar skaidrojumu, ka pēc nekustamā īpašuma atsavināšanas attiecībā uz tā turpmāko izmantošanu ievērojami arī Ministru kabineta 2011. gada 19. aprīļa noteikumos Nr.303 "Ziemeļvidzemes biosfēras rezervāta individuālie aizsardzības un izmantošanas noteikumi"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norādot, ka pēc nekustamā īpašuma atsavināšanas attiecībā uz tā turpmāko izmantošanu būs ievērojami vides un dabas resursu aizsardzības normatīvajos aktos noteiktie ierobežojumi, kā arī papildināta anotācija, skaidrojot kā atsavināšanai paredzētās nekustamā īpašuma daļas  turpmāko izmantošanu ietekmēs minētie apgrūtinājumi.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"Problēmas apraksta" pēdējā rindkopā norādīto, ka Satiksmes ministrija šobrīd strādā pie risinājuma, lai pēc pašvaldības nozīmes ceļa izbūves šāds ceļš (autoceļš) ar visiem tā kompleksā ietilpstošajiem elementiem būtu nododams pašvaldības īpašumā, nepieciešams precizēt par kādiem risinājumiem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 "Problēmas apraksts" ar iespējamiem risinājumiem, kas tiks virzīti saistībā ar pašvaldības nozīmes ceļa ar visiem tā kompleksā ietilpstošajiem elementiem nodošanu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anotāciju ar informāciju, kā atsavināšanas procesu ietekmēs zemesgrāmatā nostiprinātās ķīlas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sadaļā "Problēmas apraksts" ir norādīts kā atsavināšanas procesu ietekmēs zemesgrāmatā nostiprinātās ķīlas tiesības – atbilstoši Likuma 12.</w:t>
            </w:r>
            <w:r w:rsidR="00000000" w:rsidRPr="00000000" w:rsidDel="00000000">
              <w:rPr>
                <w:vertAlign w:val="superscript"/>
                <w:rtl w:val="0"/>
              </w:rPr>
              <w:t xml:space="preserve">1</w:t>
            </w:r>
            <w:r w:rsidR="00000000" w:rsidRPr="00000000" w:rsidDel="00000000">
              <w:rPr>
                <w:rtl w:val="0"/>
              </w:rPr>
              <w:t xml:space="preserve"> pantam, nostiprinot zemesgrāmatā īpašuma tiesības uz nekustamo īpašumu, kas atsavināts, pamatojoties uz līgumu, zemesgrāmatu nodaļas tiesnesis ķīlas tiesības atzīmi un ar to saistīto aizlieguma atzīmi dzēš bez personas, kurai par labu attiecībā uz nekustamo īpašumu ir nostiprināta ķīlas tiesība, piekrišanas. Nostiprinot īpašuma tiesības uz atsavināmo Nekustamā īpašuma daļu zemesgrāmatā uz valsts vārda Satiksmes ministrijas personā, ķīlas tiesība tiks dzēsta attiecībā uz atsavināmo Nekustamā īpašuma daļu. Ja netiks noslēgts pirkuma līgums par Nekustamā īpašuma daļas labprātīgu atsavināšanu, tiks virzīts likumprojekts par Nekustamā īpašuma daļas piespiedu atsavināšanu sabiedrības vajadzībām. Saskaņā ar Likuma 16. panta pirmo daļu, nostiprinot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24-TA-2412</w:t>
    </w:r>
    <w:r>
      <w:br/>
    </w:r>
    <w:r w:rsidR="00000000" w:rsidRPr="00000000" w:rsidDel="00000000">
      <w:rPr>
        <w:rtl w:val="0"/>
      </w:rPr>
      <w:t xml:space="preserve">07.11.2024. 18.05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24-TA-2412</w:t>
    </w:r>
    <w:r>
      <w:br/>
    </w:r>
    <w:r w:rsidR="00000000" w:rsidRPr="00000000" w:rsidDel="00000000">
      <w:rPr>
        <w:rtl w:val="0"/>
      </w:rPr>
      <w:t xml:space="preserve">07.11.2024. 18.05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Izziņa_24-TA-2412.docx</dc:title>
</cp:coreProperties>
</file>

<file path=docProps/custom.xml><?xml version="1.0" encoding="utf-8"?>
<Properties xmlns="http://schemas.openxmlformats.org/officeDocument/2006/custom-properties" xmlns:vt="http://schemas.openxmlformats.org/officeDocument/2006/docPropsVTypes"/>
</file>