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23-TA-211: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Ceturkšņa pārskata sagatavošanas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vairākām pašvaldībām vai valstij un pašvaldībai pieder kapitāla daļas vienā kapitālsabiedrībā, tad šajos noteikumos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paredzēto informāciju un </w:t>
            </w:r>
            <w:r w:rsidR="00000000" w:rsidRPr="00000000" w:rsidDel="00000000">
              <w:rPr>
                <w:rtl w:val="0"/>
              </w:rPr>
              <w:t xml:space="preserve">28.2. </w:t>
            </w:r>
            <w:r w:rsidR="00000000" w:rsidRPr="00000000" w:rsidDel="00000000">
              <w:rPr>
                <w:rtl w:val="0"/>
              </w:rPr>
              <w:t xml:space="preserve">apakšpunktā</w:t>
            </w:r>
            <w:r w:rsidR="00000000" w:rsidRPr="00000000" w:rsidDel="00000000">
              <w:rPr>
                <w:rtl w:val="0"/>
              </w:rPr>
              <w:t xml:space="preserve"> paredzēto finanšu pārskatu iesniegšanu nodrošina tas kapitāla daļu turētājs, kurš ir noteikts par atbildīgo, vienojoties kapitāla daļu turētājiem.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skaidrības labad un vienotas pieejas saglabāšanai līdzīgi kā ir paredzēts citos normatīvajos aktos kapitāla daļu pārvaldības jomā, piemēram, Ministru kabineta 2016.gada 9.februāra noteikumu Nr.95 "Kārtība, kādā tiek vērtēti darbības rezultāti un finanšu rādītāji kapitālsabiedrībai, kurā valstij ir izšķirošā ietekme" 6.punktā, kas paredz, ka gadījumā, ja kapitālsabiedrībai ir vairāki kapitāla daļu turētāji, pārskatu iesniedz tā kapitāla daļu turētāja pārstāvis, kura turējumā ir lielākais kapitāla daļu skaits attiecīgajā kapitālsabiedrībā, proti, arī šajā noteikumu projektā norādīt, ka attiecīgo informāciju iesniedz iesniedz tā ministrija, cita centrālā valsts iestāde vai pašvaldība, kuras turējumā ir lielākais kapitāla daļu skaits attiecīgajā kapitālsabiedrībā.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kapitālsabiedrībai ir vairāki kapitāla daļu turētāji, 4.2.apakšpunktā noteikto informāciju un 28.2.apakspunktā norādīto finanšu pārskatu iesniedz tā ministrija, cita centrālā valsts iestāde vai pašvaldība, kuras turējumā ir lielākais kapitāla daļu skaits attiecīgajā kapitālsabiedrībā.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Ja vairākām pašvaldībām vai valstij un pašvaldībai pieder kapitāla daļas vienā kapitālsabiedrībā, tad šajos noteikumos </w:t>
            </w:r>
            <w:r w:rsidR="00000000" w:rsidRPr="00000000" w:rsidDel="00000000">
              <w:rPr>
                <w:rtl w:val="0"/>
              </w:rPr>
              <w:t xml:space="preserve">4.2. </w:t>
            </w:r>
            <w:r w:rsidR="00000000" w:rsidRPr="00000000" w:rsidDel="00000000">
              <w:rPr>
                <w:rtl w:val="0"/>
              </w:rPr>
              <w:t xml:space="preserve">apakšpunktā</w:t>
            </w:r>
            <w:r w:rsidR="00000000" w:rsidRPr="00000000" w:rsidDel="00000000">
              <w:rPr>
                <w:rtl w:val="0"/>
              </w:rPr>
              <w:t xml:space="preserve"> paredzēto informāciju un </w:t>
            </w:r>
            <w:r w:rsidR="00000000" w:rsidRPr="00000000" w:rsidDel="00000000">
              <w:rPr>
                <w:rtl w:val="0"/>
              </w:rPr>
              <w:t xml:space="preserve">28.2. </w:t>
            </w:r>
            <w:r w:rsidR="00000000" w:rsidRPr="00000000" w:rsidDel="00000000">
              <w:rPr>
                <w:rtl w:val="0"/>
              </w:rPr>
              <w:t xml:space="preserve">apakšpunktā</w:t>
            </w:r>
            <w:r w:rsidR="00000000" w:rsidRPr="00000000" w:rsidDel="00000000">
              <w:rPr>
                <w:rtl w:val="0"/>
              </w:rPr>
              <w:t xml:space="preserve"> paredzēto finanšu pārskatu iesniegšanu nodrošina tas kapitāla daļu turētājs, kura turējumā ir lielākais kapitāla daļu skaits attiecīgajā kapitālsabiedrībā vai kurš ir noteikts par atbildīgo, vienojoties kapitāla daļu turētājiem, ja kapitāla daļu skaits attiecīgajā kapitālsabiedrībā ir vienāds visiem kapitāla daļu turētājiem.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(LRVK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apkopot datus no Valsts kases ikgadējā pārskata par valsts budžeta finanšu uzskaiti. MK noteikumu projektā ir atruna, ka Valsts ieņēmumu dienesta (turpmāk – VID) dati no tā sagatavotā ikgadējā pārskata par šā dienesta administrētiem nodokļiem, nodevām un citiem tā administrētiem uz valsts budžetu attiecināmiem maksājumiem netiks apkopoti, kā arī plānots atteikties lūgt iesniegt datus par nekustamā īpašuma nodokli (turpmāk – NĪN) pašvaldībām, jo “…veicot priekšizpēti un apzinot gala lietotāju vajadzības, Valsts budžeta deficīta un parāda notifikācijas sagatavošanas darba grupas sanāksmē pieņemts lēmums šobrīd nemainīt nodokļu uzskaites metodoloģiju atbilstoši Eiropas Kontu sistēmai (turpmāk – EKS) un nepalielināt administratīvo slogu VID un pašvaldībām. VID iesniegtās ikgadējā pārskata informācijas par tā administrēto nodokļu, nodevu un citu tā administrēto uz valsts budžetu attiecināmo maksājumu prasībām un saistībām izvērtēšana aizņems ilgu laika periodu. Līdz ar to izpētes laikā nav lietderīgi sagatavot ceturkšņa finanšu pārskatus par VID administrēto nodokļu, nodevu un citu tā administrēto uz valsts budžetu attiecināmo maksājumu prasībām un saistībām. Nodokļu ieņēmumu uzskaites metodes maiņa tikai nekustamā īpašuma nodoklim nav lietderīga, tāpēc nav nepieciešama pašvaldību administrētā NĪN ieņēmumu prasību un saistību uzrādīšana ceturkšņa finanšu pārskatos. Nodokļu ieņēmumu aprēķinu pamatojoties uz ceturkšņa finanšu pārskatu datiem, kas sagatavoti atbilstoši EKS metodoloģijai (t.i., ievērojot uzkrāšanas principu), būs iespējams ieviest ne agrāk kā pēc 2029. gada pārskata datu revīzijas.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ieskatā MK noteikumu projekta pārejas noteikumos būtu norādāms gads (datums), kurā VID un pašvaldībām šie pārskati būs jāsagatavo, lai VID un pašvaldības savlaicīgi plānotu tām paredzētos uzdevumus un plānotu IS pilnveidi un sagatavotos nepieciešamo datu apkopošanai, bet Valsts kase ietvertu izstrādātajās vadlīnijās ar šo pārskatu sagatavošanu nepieciešamos norādījumus.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sadaļas “Problēmas un risinājumi” 3.problēmas apraksta 2.rinkopas pēdējo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Valdības budžeta deficīta un parāda rokasgrāmatā norādītajām metodēm informāciju par nodokļiem un sociālajām  iemaksām iegūst no diviem avotiem: summām, ko apliecina nodokļu aprēķini un deklarācijas (uzkrājuma princips), vai gūtie naudas ieņēmumi (naudas plūsmas princips). Latvija statistiskajiem mērķiem ir izvēlējusies naudas plūsmas principu. CSP valsts budžeta deficīta un parāda notifikācijas sagatavošanas darba grupa līdz 2029.gadam vērtēs esošo informāciju , lai pārskatītu nodokļu informācijas avotu maiņu. Ja pieņems lēmumu par izmantoto datu avotu maiņu, tad šādas izmaiņas ir jāsaskaņo ar Eurostatu.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Risinājuma apraksts: “Noteikumu projekts neparedz pašvaldībām iesniegt ceturkšņa finanšu datus par to administrētā nekustamā īpašuma nodokļa ieņēmumu prasībām un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datu respondentiem tiks savlaicīgi nodrošināta, lai VID un pašvaldības savlaicīgi plānotu IS pilnveidi un sagatavotos nepieciešamo datu apkopošanai, bet Valsts kase izmaiņas ietvertu pārskata sagatavošanas vadlīnijās. Neatkarīgi no tā, ka pārskata periodā (ceturksnis) nav jāsniedz informācija par nekustamā īpašuma nodokļa administrācijas prasībām un saistībām par nekustamā īpašuma nodokli un par Valsts ieņēmumu dienesta administrēto nodokļu, nodevu un citu tā administrēto uz valsts budžetu attiecināmo maksājumu uzskaiti, gada pārskatā šāda informācija ir jāatklāj (grāmatvedības konta atlikums sadalījumā pa institucionālajiem sektoriem)".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Noslēguma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domstarpības normatīvā akta piemērošanā, lūdzam precizēt un detalizētāk paskaidrot anotācijas sadaļas risinājuma apraksts [2] punktā minēto "Kapitāldaļu turētājs ievērojot Publiskas personas kapitāla daļu un kapitālsabiedrību pārvaldības likumā noteikto, nodrošina savlaicīgu informācijas apriti, lai kapitāldaļu turētāja gada pārskatā uzrādītā līdzdalības vērtība sniegtu skaidru un patiesu priekšstatu;", proti, lūdzam precīzi norādīt, kurā Publiskas personas kapitāla daļu un kapitālsabiedrību pārvaldības likuma pantā noteikto un kādas informācijas apriti ir jānodrošina šajā noteikumu projekta paredzēto funkciju vai uzdevumu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saskaņā ar Publiskas personas kapitāla daļu un kapitālsabiedrību pārvaldības likuma 58.panta pirmo daļu publiskas personas kapitālsabiedrība un publiski privātā kapitālsabiedrība publisko savā mājaslapā internetā informāciju un kapitālsabiedrības izstrādātos pārskatus, tostarp, zvērināta revidenta nepārbaudītu starpperiodu pārskatu par trim, sešiem un deviņiem mēnešiem, kā arī zvērināta revidenta nepārbaudītu gada pārskatu (divu mēnešu laikā pēc pārskata perioda beigām). Turklāt par kapitālsabiedrības starpperiodu pārskatu sagatavošanu un ir atbildīga valde, kuras darbību uzrauga padome. Ņemot vērā minēto, lūdzam precizēt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"[2] salīdzinot ar Noteikumiem Nr. 643: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izslēgti pielikumi, nosakot atklājamās informācijas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ministrija, cita centrālā valsts iestāde un pašvaldība kapitālsabiedrības gada finanšu pārskatu (bilanci, peļņas vai zaudējumu aprēķinu, naudas plūsmas pārskatu, pašu kapitāla izmaiņu pārskatu un paskaidrojošos pielikumus) apkopo un iesniedz kopā ar ministrijas, citas centrālā valsts iestādes un pašvaldības gada pārskatu, izmantojot ePārskatus.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izslēgts kopsavilkuma ziņojums par kapitālsabiedrību finansiālās darbības ietekmi uz valsts vai pašvaldības budžetu, jo šādu informācijas atklāšanu nodrošina pamatojoties uz Noteikumos Nr. 652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samazināts subjektu loks, kas nodrošina Anketas sagatavošanu un apkopošanu. Turpmāk Anketas apkopošanu nodrošina ministrijas un citas centrālās valsts iestādes. Citi kapitāldaļu turētāji (piemēram, pašvaldības) Anketu var izmantot kapitālsabiedrību darbības uzraudzības pasākumu veikšanai un finanšu ieguldījumu kapitālsabiedrībās vērtības samazinājuma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Sagatavotajā tiesību akta Anotācijā pie Citas informācijas [6] punkta norādīta informācija par ārvalstu valūtas pārrēķināšanu uz </w:t>
            </w:r>
            <w:r w:rsidR="00000000" w:rsidRPr="00000000" w:rsidDel="00000000">
              <w:rPr>
                <w:i w:val="1"/>
                <w:rtl w:val="0"/>
              </w:rPr>
              <w:t xml:space="preserve">euro</w:t>
            </w:r>
            <w:r w:rsidR="00000000" w:rsidRPr="00000000" w:rsidDel="00000000">
              <w:rPr>
                <w:rtl w:val="0"/>
              </w:rPr>
              <w:t xml:space="preserve"> valūtu, savukārt noteikumu projektā (23-TA-211) “Ceturkšņa pārskata sagatavošanas kārtība” šī informācija netiek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visas budžeta iestādes, no valsts budžeta daļēji finansētas atvasinātas publiskas personas un budžeta nefinansētas iestādes (turpmāk – iestāde) veiktu korektu un piemērotu vienotu metodiku ārvalstu valūtas pārrēķinu veikšanai uz euro valūtu, un izvairītos no katras iestādes individuālas interpretācijas, uzskatām, ka anotācijā norādītā informācija ir jāiekļauj arī noteikumu projektā, kā tas norādīts šobrīd spēkā esošo 2019. gada 29. janvāra Ministru kabineta noteikumu Nr. 51 “Ceturkšņa pārskatu sagatavošanas un iesniegšanas kārtība” 12.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naudas līdzekļi, prasības vai saistības, kuras izpildot sagaidāma naudas līdzekļu saņemšana vai izdošana, uzskaitītas citā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 pārrēķinu euro pārskata perioda beigās (izņemot pārrēķinu pārskata gada beigās) veic pēc Eiropas Centrālās bankas publicētā euro atsauces kursa, kurš ir spēkā pārskata perioda pēdējās dienas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IV ceturkšņa pārskatā pārrēķinu euro veic pēc Eiropas Centrālās bankas publicētā euro atsauces kursa, kurš ir spēkā pārskata perioda pēdējās dienas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tām ārvalstu valūtām, kurām Eiropas Centrālā banka nepublicē euro atsauces kursu, piemēro pasaules finanšu tirgus atzītā finanšu nozares periodiskajā izdevumā vai tā interneta resursā publicēto valūtas tirgus kursu attiecībā pret euro pārskata perioda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iekļaujama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naudas līdzekļi, prasības vai saistības, kuras izpildot sagaidāma naudas līdzekļu saņemšana vai izdošana, uzskaitītas citā valūtā: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pārrēķinu euro pārskata perioda beigās (izņemot pārrēķinu pārskata gada beigās) veic pēc Eiropas Centrālās bankas publicētā euro atsauces kursa, kurš ir spēkā pārskata perioda pēdējās dienas sākumā;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IV ceturkšņa pārskatā pārrēķinu euro veic pēc Eiropas Centrālās bankas publicētā euro atsauces kursa, kurš ir spēkā pārskata perioda pēdējās dienas beigās;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tām ārvalstu valūtām, kurām Eiropas Centrālā banka nepublicē euro atsauces kursu, piemēro pasaules finanšu tirgus atzītā finanšu nozares periodiskajā izdevumā vai tā interneta resursā publicēto valūtas tirgus kursu attiecībā pret euro pārskata perioda beigās.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Grāmatvedības likuma 7.pants paredz gada pārskatā izmantojamo valūtas 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juridiskajai tehnikai normatīvos aktus nedublē, attiecībā uz 1. līdz 3.ceturkšņa pārskatiem nosacījumi ir paredzēti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un apjomu, kā budžeta iestādes, no valsts budžeta daļēji finansētas atvasinātas publiskas personas un budžeta nefinansētas iestādes sagatavo un iesniedz Valsts kasei ceturkšņa pārskatu;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Pārvietot noteikumu projekta 2.1. apakšpunktā atrunāto saīsinājumu uz noteikumu projekta 1.1. punktu, līdz ar to, nodrošinot, ka saīsinājums tiek atrunāts brīdī, kad tas tiek lietots pirmo reizi.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1.1. un 2.1.apakšpunktu redakcijas, pārvietojot noteikumu projekta 2.1. apakšpunktā atrunāto saīsinājumu uz noteikumu projekta 1.1.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kārtību un apjomu, kā budžeta iestādes, no valsts budžeta daļēji finansētas atvasinātas publiskas personas un budžeta nefinansētas iestādes (turpmāk – budžeta iestādes) sagatavo un iesniedz Valsts kasei ceturkšņa pārskatu;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budžeta iestādes, no valsts budžeta daļēji finansētas atvasinātas publiskas personas un budžeta nefinansētas iestādes (turpmāk – budžeta iestādes), kā arī Valsts kase par valsts budžeta finanšu uzskaiti;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noteikumu projekta 2.1. apakšpunktā atrunāto saīsinājumu "budžeta iestādes" ar vārdu "iestādes", jo saskaņā ar minēto apakšpunktu ar atrunāto saīsinājumu "budžeta iestādes" saprot budžeta iestādes, no valsts budžeta daļēji finansētas atvasinātas publiskas personas un budžeta nefinansētas iestādes, līdz ar to, tiesību normu piemērotājam var rasties grūtības saprast attiecīgos noteikumus. Papildus, vēršu uzmanību uz Ministru kabineta 2019. gada 29. janvāra noteikumu Nr. 51 "Ceturkšņa pārskatu sagatavošanas un iesniegšanas kārtība" 1.1. apakšpunktu, kurā ir lietots saīsinājums "iestādes". Attiecīgi jāprecizē pārejais 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5.punktu. Šajā noteikumu projektā saīsinājumi lietoti saskaņojot ar citiem normatīvajiem aktiem grāmatvedības uzskaites un pārskatu sagatavošanas jomā, t.sk. 2018.gada 13.februāra Ministru kabineta noteikumiem Nr.87 “Grāmatvedības uzskaites kārtība budžeta iestādēs”,  2021. gada 28. septembra Ministru kabineta noteikumiem Nr. 652 “Gada pārskata sagatavošanas kārtība”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budžeta iestādes, kā arī Valsts kase par valsts budžeta finanšu uzskaiti;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informācijas par budžeta iestādes finanšu aktīviem un saistībām;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projekta 4.1. apakšpunktu vai 25. punktu, jo 4.1. apakšpunktā lietots jēdziens "finanšu aktīvi un saistības", savukārt 25. punktā lietots jēdziens "finanšu aktīvi un pasīvi".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25.punkts.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informācijas par budžeta iestādes finanšu aktīviem un saistībām;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Ārlietu ministrija pārskatā iekļauj datus par Latvijas diplomātiskajām un konsulārajām pārstāvniecībām: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šo punktu ar apakšpunktiem.  Visas ministrijas pāriet uz digitālo finanšu  un procesu uzskaiti un apstrādi, kas paātrina datu apstrādi, līdz ar to šis punkts būtu svīrtojams.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Neattiecas uz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Ārlietu ministrija pārskatā iekļauj datus par Latvijas diplomātiskajām un konsulārajām pārstāvniecībām: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Konsolidēto pārskatu pamato ar aprēķiniem un tabulām, kuru sagatavošanā ievēro atbilstoši normatīvajiem aktiem grāmatvedības jomā noteiktās prasības attaisnojuma dokumentiem un grāmatvedības reģistriem.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Pamatojams ar Ministru kabineta 2009. gada 18. februāra noteikumu Nr. 108 "Normatīvo aktu projektu sagatavošanas noteikumi" 2.1. apakšpunkta prasībām, kas nosaka, ka normatīvā akta projekta tekstu raksta lakonisku.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Konsolidēto pārskatu pamato ar aprēķiniem un tabulām, kurus sagatavo atbilstoši normatīvajiem aktiem grāmatvedības jomā, kas nosaka prasības attaisnojuma dokumentiem un grāmatvedības reģistriem.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19.punkta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Konsolidēto pārskatu pamato ar aprēķiniem un tabulām, kurus sagatavo atbilstoši normatīvajos aktos grāmatvedības jomā noteiktajām prasībām attaisnojuma dokumentiem un grāmatvedības reģistriem.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precizitātes pakāpi.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par pārskatā norādāmo precizitāti un pakāpi.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21.5. punkts un vadlīnijas par ceturkšņa pārskatu sagatavošanu ir papildinātas ar tekstu “ veidlapās datus uzrāda pilnos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21.5. skaitļa precizitātes pakāpi.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ministrijas, citas centrālās valsts iestādes un pašvaldības apkopo un iesniedz ePārskatos kopā ar tās gada pārskatu kapitālsabiedrības finanšu pārskatu vai konsolidēto finanšu pārskatu, saskaņā ar kuru aprēķināta budžeta iestādes līdzdalības uzskaites vērtība gada beigās.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(LRVK - 15.08.2023.)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apakšpunktā ietvertos ievadvārdus, lai novērstu dublēšanos ar 28.punktā norādīto.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28.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28.Ministrijas, citas centrālās valsts iestādes un pašvaldības: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28.1.nodrošina noteikumu 4.2. apakšpunktā minētās informācijas apkopošanu un iesniegšanu par katru kapitālsabiedrību un kopsavilkuma (vienādu posteņu summēšana) sagatavošanu un iesniegšanu ePārskatos;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28.2.apkopo un iesniedz ePārskatos kopā ar tās gada pārskatu kapitālsabiedrības finanšu pārskatu vai konsolidēto finanšu pārskatu, saskaņā ar kuru aprēķināta budžeta iestādes līdzdalības uzskaites vērtība gada beigās.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apkopo un iesniedz ePārskatos kopā ar tās gada pārskatu kapitālsabiedrības finanšu pārskatu vai konsolidēto finanšu pārskatu, saskaņā ar kuru aprēķināta budžeta iestādes līdzdalības uzskaites vērtība gada beigās.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- 04.09.2023.)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anotācijas 1.3. nodaļā direktīvas Eiropas Padomes 2011. gada 8. novembrī pieņemto direktīvu Nr.2011/85/ES par prasībām dalībvalstu budžeta struktūrām un Ministru kabineta noteikumu Nr. 95 "Kārtība, kādā tiek vērtēti darbības rezultāti un finanšu rādītāji kapitālsabiedrībai, kurā valstij ir izšķirošā ietekme" atrunāto saīsinājumu, jo tas netiek lietots.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Svītroti anotācijas 1.3. nodaļā direktīvas Eiropas Padomes 2011. gada 8. novembrī pieņemto direktīvu Nr.2011/85/ES par prasībām dalībvalstu budžeta struktūrām un Ministru kabineta noteikumu Nr. 95 "Kārtība, kādā tiek vērtēti darbības rezultāti un finanšu rādītāji kapitālsabiedrībai, kurā valstij ir izšķirošā ietekme" atrunātie saīsinājumi.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23-TA-211</w:t>
    </w:r>
    <w:r>
      <w:br/>
    </w:r>
    <w:r w:rsidR="00000000" w:rsidRPr="00000000" w:rsidDel="00000000">
      <w:rPr>
        <w:rtl w:val="0"/>
      </w:rPr>
      <w:t xml:space="preserve">28.09.2023. 12.47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23-TA-211</w:t>
    </w:r>
    <w:r>
      <w:br/>
    </w:r>
    <w:r w:rsidR="00000000" w:rsidRPr="00000000" w:rsidDel="00000000">
      <w:rPr>
        <w:rtl w:val="0"/>
      </w:rPr>
      <w:t xml:space="preserve">28.09.2023. 12.47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Izziņa_23-TA-211.docx</dc:title>
</cp:coreProperties>
</file>

<file path=docProps/custom.xml><?xml version="1.0" encoding="utf-8"?>
<Properties xmlns="http://schemas.openxmlformats.org/officeDocument/2006/custom-properties" xmlns:vt="http://schemas.openxmlformats.org/officeDocument/2006/docPropsVTypes"/>
</file>