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25-TA-599: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17. decembra noteikumos Nr. 889 "Eiropas Savienības kohēzijas politikas programmas 2021.–2027. gadam 4.3.2. specifiskā atbalsta mērķa "Kultūras un tūrisma lomas palielināšana ekonomiskajā attīstībā, sociālajā iekļaušanā un sociālajās inovācijās"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(20.12.2024.)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17. decembra noteikumos Nr. 889 "Eiropas Savienības kohēzijas politikas programmas 2021.–2027. gadam 4.3.2. specifiskā atbalsta mērķa "Kultūras un tūrisma lomas palielināšana ekonomiskajā attīstībā, sociālajā iekļaušanā un sociālajās inovācijās"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grozījumu noteikumu projekta ietekme uz projektu iesniegumu vērtēšanas kritērijiem (un otrādi), ievērojot š.g. 3.martā uzsākto ES fondu 2021.-2027.gada plānošanas perioda Uzraudzības komitejas (turpmāk - UK) rakstisko procedūru, kurā apstiprināšanai tiek virzīti Kultūras ministrijas 4.3.2.specifiskā atbalsta mērķa “Kultūras un tūrisma lomas palielināšana ekonomiskajā attīstībā, sociālajā iekļaušanā un sociālajās inovācijās” (turpmāk 4.3.2.SAM) projekta iesnieguma vērtēšanas kritēriju grozījumi. Ņemot vērā, ka UK rakstiskās procedūras laikā par 4.3.2.SAM kritērijiem ir saņemti komentāri, attiecīgi pēc 4.3.2.SAM kritēriju grozījumu gala versijas saskaņošanas izvērtēt nepieciešamību precizēt/ salāgot arī noteikumu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anotāciju ar informāciju, vai MK noteikumu grozījumu projektā ierosinātie grozījumi neskar </w:t>
            </w:r>
            <w:r w:rsidR="00000000" w:rsidRPr="00000000" w:rsidDel="00000000">
              <w:rPr>
                <w:b w:val="1"/>
                <w:rtl w:val="0"/>
              </w:rPr>
              <w:t xml:space="preserve">projektu iesniegumu vērtēšanas kritērijus, </w:t>
            </w:r>
            <w:r w:rsidR="00000000" w:rsidRPr="00000000" w:rsidDel="00000000">
              <w:rPr>
                <w:rtl w:val="0"/>
              </w:rPr>
              <w:t xml:space="preserve">un tādēļ tie </w:t>
            </w:r>
            <w:r w:rsidR="00000000" w:rsidRPr="00000000" w:rsidDel="00000000">
              <w:rPr>
                <w:u w:val="single"/>
                <w:rtl w:val="0"/>
              </w:rPr>
              <w:t xml:space="preserve">pirms vai vienlaikus</w:t>
            </w:r>
            <w:r w:rsidR="00000000" w:rsidRPr="00000000" w:rsidDel="00000000">
              <w:rPr>
                <w:rtl w:val="0"/>
              </w:rPr>
              <w:t xml:space="preserve"> ar noteikumu grozījumu projekta iesniegšanu tiek grozīti </w:t>
            </w:r>
            <w:r w:rsidR="00000000" w:rsidRPr="00000000" w:rsidDel="00000000">
              <w:rPr>
                <w:u w:val="single"/>
                <w:rtl w:val="0"/>
              </w:rPr>
              <w:t xml:space="preserve">vai to grozījumi ir jau apstiprināti Uzraudzības komitejā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ir izvērtējusi specifiskā atbalsta projektu iesniegumu vērtēšanas kritēriju grozījumu ietekmi uz Noteikumu projektu un aicina Noteikumu projektu virzīt apstiprināšanai paralēli specifiskā atbalsta projektu iesniegumu vērtēšanas kritēriju grozījumiem, vienlaikus ņemot vērā, ka 04.04.2025. ES fondu Uzraudzības komitejas ietvaros ir saņemti tehniski iebildumi par kritēriju grozījumu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Kultūras ministrija 2025. gada 3. martā ir uzsākusi specifiskā atbalsta projekta iesnieguma vērtēšanas kritēriju grozījumu izskatīšanu ES fondu 2021.-2027. gada plānošanas perioda Uzraudzības komitejā, Kultūras ministrija ir izvērtējusi, ka uzsāktajiem specifiskā atbalsta projekta iesnieguma vērtēšanas kritēriju grozījumiem nav ietekme uz Noteikumiem Nr.889, tāpat arī Noteikumu Nr.889 grozījumi neskar specifiskā atbalsta vērtēšanas kritēriju grozījumus. Specifiskā atbalsta kritēriju grozījumi paredz definēt specifiskā atbalsta ietvaros īstenojamās organizācijas darbības stratēģijas sociālekonomiskos ieguvumus, kā arī papildinātu kvalitātes vērtēšanas kritēriju piemērošanas metodiku, līdz ar to specifiskā atbalsta projekta iesnieguma vērtēšanas kritēriju grozījumi netiek iekļauti Noteikumos Nr.889. Savukārt Projekts neattiecas uz specifiskā atbalsta vērtēšanas kritēriju grozījumiem, jo paredz paplašināt specifiskā atbalsta sadarbības partneru loku un veikt citus tehniskus precizējumus.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Projektu var virzīt apstiprināšanai neatkarīgi no specifiskā atbalsta kritēriju grozījumu apstiprināšanas Uzraudzības komitejā.”.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specifiskā atbalsta ietvaros projekta īstenošanai var piesaistīt sadarbības partneri: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2. panta pirmā daļa noteic, ka pašvaldība ir atvasināta publiska persona — vietējā pārvalde (..).Savukārt pašvaldības administrācija (pašvaldības iestādes un amatpersonas) ir pastarpinātā pārvalde, kuru dome izveido pašvaldībai noteikto funkciju un uzdevumu izpildes nodrošināšanai (Pašvaldību likuma 20. panta pirmā daļa). Attiecībā uz pašvaldību finanšu līdzekļiem norādām, ka saskaņā ar Pašvaldību likuma 72. panta pirmo daļu pašvaldības, nevis pašvaldības administrācijas, ekonomiskais pamats ir pašvaldības manta, tostarp kustamais un nekustamais īpašums, un finanšu līdzekļi.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Publiskas personas kapitāla daļu un kapitālsabiedrību pārvaldības likums nošķir terminus "valsts kapitālsabiedrība" un "pašvaldības kapitālsabiedrība", tādējādi vēlams nošķirtu šos terminus arī citos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22.1. apakšpunktā vārdus “pašvaldības iestādi vai”, bet vārdus ”valsts un pašvaldības” aizstāt ar vārdiem "valsts vai pašvaldības", savukārt 22.2. apakšpunktā svītrot vārdus “pašvaldību, pašvaldības iestādi vai”, bet vārdus ”valsts un pašvaldības” aizstāt ar vārdiem "valsts vai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01.01.2025. sarunā ar VARAM un CFLA vienojās, ka papildus izteiktajam iebildumam nepieciešams precizēt arī Noteikumu Nr. 889 21.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atsevišķi neizdalot pašvaldības iestādi kā projekta iesniedzēju, jo atbilstoši Pašvaldību likuma 2. panta pirmajā daļā un 20. panta pirmajā daļā noteiktajam pašvaldība ir atvasināta publiska persona, savukārt pašvaldības iestāde ir pastarpinātā pārvalde, kuru dome izveido pašvaldībai noteikto funkciju un uzdevumu izpildes nodrošināšanai, attiecīgi atvasinātas publiskas personas statuss ietver pašvaldību, kuras funkcijas īsteno pašvaldības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svītrojot 21.3. apakšpunktu, jo gadījumos, ja pašvaldība ir izveidojusi kultūras iestādi, kuras pamatdarbība ir kultūras vai radošajā nozarē, pašvaldība projekta iesniegumu iesniedz atbilstoši Noteikumu Nr. 889 21.1.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precizējot, ka pašvaldība kā atvasināta publiska persona projekta iesniegumu var iesniegt tikai ar sadarbības partneri, kura pamatdarbība ir kultūras vai radošajā nozarē, ja pašvaldība pati nav izveidojusi attiecīgās nozares iestādi, tai skaitā kultūras funkciju neīsteno pašvaldības iestādes struktūrvienība.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specifiskā atbalsta ietvaros projekta īstenošanai var piesaistīt sadarbības partneri: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21.1.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korekti izprotams MK noteikumu projekta 21.punktā noteiktais par projekta iesniedzēja veidu. Proti, ja projekta iesniedzējs ir pašvaldība, kas iesniedz projekta iesniegumu tās pašvaldības iestādes vārdā, kas pārstāv kultūras nozari un kuras pamatdarbība ir kultūras nozarē, tostarp ir reģistrēta ar vienoto pašvaldības reģistrācijas numuru, piemēram, kultūras centrā vārdā, tad šajā gadījumā projekta iesniedzējs būs klasificējams kā atvasināta publiska persona un atbildīs MK noteikumu projekta 21.1. apakšpunktam (lai kvalificētos kā projekta iesniedzējs). Tādējādi - vai iepriekš minētā gadījuma ietvaros, šādas iestādes, kuras pamatdarbība ir kultūras nozarē un ir reģistrēta ar vienoto pašvaldības reģistrācijas numuru, vairs neiekļauj projektā kā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sniegt papildu informāciju, ja projekta iesniegumu iesniedz pašvaldība tās iestādes vārdā, kas pārstāv kultūras nozari un kuras pamatdarbība ir kultūras nozarē ar vienoto pašvaldības reģistrācijas numuru, tad kuras iestādes darbības stratēģija ir jāiesniedz atbilstoši MK noteikumu projekta 30. punkta nosacījuma izpildei - pašvaldības vai pašvaldības kultūras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iesniedzējs, kas ir pašvaldība, kas iesniedz projekta iesniegumu par pašvaldības iestādi, kuras pamatdarbība ir kultūras nozarē (neatkarīgi no tā, vai kultūras iestādei ir/nav reģistrācijas numurs), atbilst Noteikumu Nr. 889 21.1. apakšpunktā noteiktajai publiskai atvasinātai personai, kuras pamatdarbība ir kultūras vai radošajā nozarē.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Noteikumu Nr. 889 30. punkts paredz, ka projekta iesniedzējam vai sadarbības partnerim, kura pamatdarbība ir kultūras vai radošajā nozarē, uz projekta iesniegšanas dienu ir izstrādāta organizācijas darbības stratēģija.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kad projektu iesniedz pašvaldība, kuras projektā kultūras darbību nodrošinās tās izveidota kultūras iestāde, tad minētai pašvaldības kultūras iestādei arī ir jābūt izstrādātai organizācijas darbības stratēģijai.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21.1. apakšpunktu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valsts iestādi, atvasinātu publisku personu, pašvaldību, pašvaldības iestādi vai valsts un pašvaldības kapitālsabiedrību, kura īpašumā, turējumā, lietošanā, valdījumā vai nomā atrodas objekts, kurā plānotas investīcijas.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atbalsts pasākuma ietvaros tiek sniegts kultūras mērķim un visā projekta dzīves ciklā (amortizācijas periodā) tiek nodrošināts, ka atbalstītajā objektā izmantošanas mērķis nemainās, lūdzam papildināt anotāciju ar skaidrojumu, ka projekta iesniedzējs nodrošina, ka 22.2. apakšpunktā minētā sadarbības partnera infrastruktūra visā projekta dzīves ciklā (amortizācijas periodā) tiek izmantota kultūras mērķim. Papildus lūdzam noteikumu projektā izmantot terminu - projekta dzīves cikls, attiecīgi anotācijā to skaidrojot un norādot, kāds būs projekta dzīves cikla ilgums.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4.3.2. SAM mērķis ir vērsts uz sociālo iekļaušanu orientēta un mērķa grupas vajadzībās balstīta kultūras piedāvājuma veidošana, paredzot infrastruktūras attīstības darbus tikai tādā apmērā, cik tie nepieciešami, lai īstenotu organizācijas darbības stratēģijā plānotos kultūras pakalpojumus un veicinātu līdztiesību kultūras norišu vides piekļūstamībā, paredzams, ka 4.3.2. SAM ietvaros netiks īstenota pilna cikla būvniecība, bet infrastruktūras pielāgošana lokāliem piekļūstamības risinājumiem.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un sadarbības partneris, kura īpašumā, turējumā, lietošanā vai valdījumā atrodas objekts, nodrošina, ka infrastruktūra, kurā veiktas investīcijas, visā projekta pārskata periodā tiek izmantota kultūras mērķim. Projekta pārskata periods jeb projekta dzīves cikls ir projekta ietvaros iegādātās vai radītās infrastruktūras vai aprīkojuma amortizācijas periods jeb lietderīgās lietošanas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Projektiem, kuriem sniegtais atbalsts nav uzskatāms par komercdarbības atbalstu, projekta pārskata periods ir vismaz pieci gadi pēc noslēguma maksājuma veikšanas, savukārt projektiem, kuriem sniegtais atbalsts ir uzskatāms par komercdarbības atbalstu, projekta pārskata periods ir vismaz desmit gadi, ko nosaka, sākot no projekta ietvaros radītās vai uzlabotās infrastruktūras lietderīgās lietošanas uzsākšanas brīža.”.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valsts iestādi, atvasinātu publisku personu, valsts kapitālsabiedrību vai pašvaldības kapitālsabiedrību, kuras īpašumā, turējumā, lietošanā vai valdījumā atrodas objekts, kurā plānotas investīcijas.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ievēro principu "vienlīdzība, iekļaušana, nediskriminācija un pamattiesību ievērošana" un uzkrāj datus par projekta ietekmi uz horizontālo principu rādītājiem (ja attiecināms), tai skaitā par objektu skaitu, kuros ir nodrošināta vides un informācijas piekļūstamība;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apakšpunkta redakciju, lai  tajā iekļautā informācija būtu nepārprotami skaidra finansējuma saņēmējam. Proti, finansējuma saņēmēja pienākums ir </w:t>
            </w:r>
            <w:r w:rsidR="00000000" w:rsidRPr="00000000" w:rsidDel="00000000">
              <w:rPr>
                <w:u w:val="single"/>
                <w:rtl w:val="0"/>
              </w:rPr>
              <w:t xml:space="preserve">uzkrāt datus par horizontālā principa rādītāju (</w:t>
            </w:r>
            <w:r w:rsidR="00000000" w:rsidRPr="00000000" w:rsidDel="00000000">
              <w:rPr>
                <w:rtl w:val="0"/>
              </w:rPr>
              <w:t xml:space="preserve">ne ietekmi), kurš ir definēts noteikumu 33.3.  apakšpunktā un citiem horizontālā principa rādītājiem, ja projekta iesniegumā tādi ir paredzēti.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ievēro horizontālo principu "Vienlīdzība, iekļaušana, nediskriminācija un pamattiesību ievērošana" un uzkrāj datus par horizontālā principa rādītāju "Objektu skaits, kuros ir nodrošināta vides un informācijas piekļūstamība" un citiem rādītājiem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ievēro horizontālo principu "Vienlīdzība, iekļaušana, nediskriminācija un pamattiesību ievērošana" un uzkrāj datus par horizontālā principa rādītāju "Objektu skaits, kuros ir nodrošināta vides un informācijas piekļūstamība" un citiem rādītājiem (ja attiecināms);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25-TA-599</w:t>
    </w:r>
    <w:r>
      <w:br/>
    </w:r>
    <w:r w:rsidR="00000000" w:rsidRPr="00000000" w:rsidDel="00000000">
      <w:rPr>
        <w:rtl w:val="0"/>
      </w:rPr>
      <w:t xml:space="preserve">22.04.2025. 13.47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25-TA-599</w:t>
    </w:r>
    <w:r>
      <w:br/>
    </w:r>
    <w:r w:rsidR="00000000" w:rsidRPr="00000000" w:rsidDel="00000000">
      <w:rPr>
        <w:rtl w:val="0"/>
      </w:rPr>
      <w:t xml:space="preserve">22.04.2025. 13.47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Izziņa_25-TA-599.docx</dc:title>
</cp:coreProperties>
</file>

<file path=docProps/custom.xml><?xml version="1.0" encoding="utf-8"?>
<Properties xmlns="http://schemas.openxmlformats.org/officeDocument/2006/custom-properties" xmlns:vt="http://schemas.openxmlformats.org/officeDocument/2006/docPropsVTypes"/>
</file>