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30. maija noteikumos Nr. 295 "Noteikumi par transportlīdzekļu valsts tehnisko apskati un tehnisko kontroli uz ceļa"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13.1.5.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svītrot Ministru kabineta 2017.gada 30.maija noteikumu Nr.295 "Noteikumi par transportlīdzekļu valsts tehnisko apskati un tehnisko kontroli uz ceļa" (turpmāk - Noteikumi Nr.295) 13.1.5.apakšpunktu, kas nosaka, ka transportlīdzekļa tehniskā stāvokļa un tā aprīkojuma tehniskā kontrole var tikt ierosināta uz tiesībaizsardzības iestādes amatpersonas lēmuma pamata. Taču projekta sākotnējās ietekmes novērtējuma ziņojumā (anotācijā) nav atrodama informācija par šāda grozījuma nepieciešamību, proti, par to, kāpēc ir paredzēts atteikties no minētā transportlīdzekļa tehniskā stāvokļa un tā aprīkojuma tehniskās kontroles veikšanas tiesiskā pamata. Tādējādi pēc būtības nemaz nav iespējams izvērtēt, ir vai nav atbalstāma 13.1.5.apakšpunkta svītrošana no Noteikumiem Nr.295.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Nr.295 13.1.5.apakšpunktā ietvertais regulējums ir saistīts ar Noteikumu Nr.295 85.2.apakšpunktā ietverto regulējumu, taču projektā 85.2.apakšpunkta svītrošana nav paredzēta. Arī minētais rada pārdomas par 13.1.5.apakšpunkta svītrošanas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izvērtēt projekta 1.punktā ietvertā grozījuma tālāko virzību, proti, vai nu to svītrojot, vai arī papildinot projekta sākotnējās ietekmes novērtējuma ziņojumu (anotāciju) ar informāciju par projekta 1.punktā ietvertā grozījuma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42.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piedāvātais 42.</w:t>
            </w:r>
            <w:r w:rsidR="00000000" w:rsidRPr="00000000" w:rsidDel="00000000">
              <w:rPr>
                <w:vertAlign w:val="superscript"/>
                <w:rtl w:val="0"/>
              </w:rPr>
              <w:t xml:space="preserve">1</w:t>
            </w:r>
            <w:r w:rsidR="00000000" w:rsidRPr="00000000" w:rsidDel="00000000">
              <w:rPr>
                <w:rtl w:val="0"/>
              </w:rPr>
              <w:t xml:space="preserve">punkta regulējums paredz, ka uz Valsts policijas amatpersonas lēmuma pamata ierosinātu transportlīdzekļu sākotnējo pārbaudi vai sākotnējo un detalizēto pārbaudi, veic valsts akciju sabiedrības "Ceļu satiksmes drošības direkcija" (turpmāk - Direkcija) norādītā tehniskās apskates stacijā. Minētais regulējums interpretējams tādējādi, ka attiecīgā fiziskā persona, uz kuru attiecināms Valsts policijas amatpersonas pieņemtais lēmums, sazinoties ar Direkciju, pati noskaidro, kurā tehniskās apskates stacijā tai ir iespējams veikt sava transportlīdzekļa pārbaudi. Savukārt projekta sākotnējās ietekmes novērtējuma ziņojumā (anotācijā) minēts, ka Valsts policijas amatpersona, pieņemot lēmumu, to saskaņo ar Direkciju. Tas nepieciešams, lai nodrošinātu, ka tehniskās apskates stacijas parametri, uz kuru plānots norīkot transportlīdzekli pārbaudei, ļauj pārbaudīt konkrētās kategorijas transportlīdzekli, kā arī to, ka pārbaudi veic tehniskās apskates stacijas darba laikā. Līdz ar to konstatējams, ka projekta 4.punktā piedāvātais 42.</w:t>
            </w:r>
            <w:r w:rsidR="00000000" w:rsidRPr="00000000" w:rsidDel="00000000">
              <w:rPr>
                <w:vertAlign w:val="superscript"/>
                <w:rtl w:val="0"/>
              </w:rPr>
              <w:t xml:space="preserve">1</w:t>
            </w:r>
            <w:r w:rsidR="00000000" w:rsidRPr="00000000" w:rsidDel="00000000">
              <w:rPr>
                <w:rtl w:val="0"/>
              </w:rPr>
              <w:t xml:space="preserve">punkta regulējums neatbilst projekta sākotnējās ietekmes novērtējuma ziņojumā (anotācijā) minētajam skaidrojumam, jo šis regulējums nemaz neparedz Valsts policijas amatpersonas pienākumu saskaņot lēmumu ar Direkciju.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vai nu attiecīgi precizēt projekta 4.punktā piedāvāto 42.</w:t>
            </w:r>
            <w:r w:rsidR="00000000" w:rsidRPr="00000000" w:rsidDel="00000000">
              <w:rPr>
                <w:vertAlign w:val="superscript"/>
                <w:rtl w:val="0"/>
              </w:rPr>
              <w:t xml:space="preserve">1</w:t>
            </w:r>
            <w:r w:rsidR="00000000" w:rsidRPr="00000000" w:rsidDel="00000000">
              <w:rPr>
                <w:rtl w:val="0"/>
              </w:rPr>
              <w:t xml:space="preserve">punkta regulējumu, vai arī nodrošināt projekta sākotnējās ietekmes novērtējuma ziņojumā (anotācijā) minētās informācijas atbilstību projekta 4.punktā piedāvātajam 42.</w:t>
            </w:r>
            <w:r w:rsidR="00000000" w:rsidRPr="00000000" w:rsidDel="00000000">
              <w:rPr>
                <w:vertAlign w:val="superscript"/>
                <w:rtl w:val="0"/>
              </w:rPr>
              <w:t xml:space="preserve">1</w:t>
            </w:r>
            <w:r w:rsidR="00000000" w:rsidRPr="00000000" w:rsidDel="00000000">
              <w:rPr>
                <w:rtl w:val="0"/>
              </w:rPr>
              <w:t xml:space="preserve">punkta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netiek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transportlīdzekļa tehniskā stāvokļa un tā aprīkojuma tehniskā kontrole ierosināta uz tiesībaizsardzības iestādes amatpersonas lēmuma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ietvertais grozījums pēc būtības paredz svītrot no Ministru kabineta 2017.gada 30.maija noteikumiem Nr.295 "Noteikumi par transportlīdzekļu valsts tehnisko apskati un tehnisko kontroli uz ceļa" (turpmāk - Noteikumi Nr.295) norādi uz vienu no speciālajiem transportlīdzekļa tehniskā stāvokļa un tā aprīkojuma tehniskās kontroles veidiem, proti, uz transportlīdzekļa tehniskā stāvokļa un tā aprīkojuma tehnisko kontroli, kas ierosināta uz tiesībaizsardzības iestādes amatpersonas lēmuma pamata. Norādām, ka Noteikumu Nr.295 13.1.5.apakšpunkta regulējums, kuru ar šiem grozījumiem ir paredzēts svītrot, ir nesaraujami saistīts ar Noteikumu Nr.295 85.2.apakšpunkta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projektu ar jaunu vienību (punktu), kurā tiek paredzēta arī Noteikumu Nr.295 85.2.apakšpunkta svītrošana, vienlaikus informāciju par to ietverot arī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85.2.apakšpunkts.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transportlīdzekļa tehniskā stāvokļa un tā aprīkojuma tehniskā kontrole ierosināta uz tiesībaizsardzības iestādes amatpersonas lēmuma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atļaujas piedalīties ceļu satiksmē vai pagaidu atļaujas derīguma termiņa pēdējā diena ir sestdiena, svētdiena vai svētku diena, termiņa pēdējā diena ir nākamā darbdiena. Atsevišķos gadījumos, lai nodrošinātu vienmērīgu transportlīdzekļu sadalījumu atkārtotās apskates veikšanai, pagaidu atļaujas derīguma termiņu var noteikt garāku, bet ne ilgāku par 40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noteikumu 54.punkta nosacījumus, pagaidu atļaujas derīguma termiņu var noteikt īsāku par 30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2017. gada 30. maija noteikumos Nr.295 “Noteikumi par transportlīdzekļu valsts tehnisko apskati un tehnisko kontroli uz ceļa””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2017. gada 30. maija noteikumu Nr.295 “Noteikumi par transportlīdzekļu valsts tehnisko apskati un tehnisko kontroli uz ceļa”” (turpmāk – noteikumi) 14. punktu nepieciešams precizēt vai svītrot. Vēršam uzmanību, ka projektā piedāvātās normas pirmais teikums dublē Administratīvā procesa likuma 43. panta otrajā daļā noteikto regulējumu. Ņemot vērā, ka atļauja piedalīties ceļu satiksmē ir administratīvais akts, noteikumos šāda Administratīvā procesa likumu dublējoša regulējuma veidošana nav pieļaujama. Turklāt Ceļu satiksmes likuma (turpmāk – likums) 16. panta sestā daļa paredz regulējumu atļauju izsniegšanai vienmērīga transportlīdzekļu skaita sadalījumam. Ievērojot minēto, saskaņā ar normatīvo aktu hierarhiju noteikumos nav pieļaujams iekļaut dublējošu vai atšķirīgu regulējumu, kas ir noteikts ar likumu. Tādējādi projektā nevar paredzēt 40 dienu termiņu, jo šāda veida termiņu izmaiņas ir jāveic likumā. Ievērojot minēto, piedāvājam projektā paredzēt noteikumu 14.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netiek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Inspektors veic transportlīdzekļu, kas pirmo reizi reģistrēti sākot ar 2021.gada 1.janvāri, pašdiagnostikas sistēmā uzkrāto degvielas un/vai enerģijas patēriņa datu nolasīšanu un saglabāšanu, izmantojot ierīci ar ko pieslēdzās transportlīdzekļa elektroniskajai saskarnei. Transportlīdzekļa īpašniekam vai turētājam ir tiesības atteikties no šo datu nolasīšanas.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noteikumu 24.</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Vēršam uzmanību, ka Komisijas 2021. gada 4. marta Īstenošanas regulas (ES) 2021/392 par vieglo pasažieru automobiļu un vieglo komerciālo transportlīdzekļu CO2 emisiju datu monitoringu un ziņošanu saskaņā ar Eiropas Parlamenta un Padomes Regulu (ES) 2019/631 un ar ko atceļ Komisijas Īstenošanas regulu (ES) Nr. 1014/2010, (ES) Nr. 293/2012, (ES) 2017/1152 un (ES) 2017/1153 (turpmāk – Regula (ES) 2021/392) 10. pants paredz dalībvalsts pienākumus vākt atbilstošus transportlīdzekļa datus tehniskās apskates laikā. Tādējādi šī punkta otrajā teikumā paredzētās personas tiesības atteikties no pārbaudes (datu nolasīšanas) nav pietiekami saprotamas. Ievērojot minēto, projekta anotācijā nepieciešams sniegt izvērstu skaidrojumu par atteikuma tiesībām, vai arī projektā paredzēto noteikumu 24.</w:t>
            </w:r>
            <w:r w:rsidR="00000000" w:rsidRPr="00000000" w:rsidDel="00000000">
              <w:rPr>
                <w:vertAlign w:val="superscript"/>
                <w:rtl w:val="0"/>
              </w:rPr>
              <w:t xml:space="preserve">1</w:t>
            </w:r>
            <w:r w:rsidR="00000000" w:rsidRPr="00000000" w:rsidDel="00000000">
              <w:rPr>
                <w:rtl w:val="0"/>
              </w:rPr>
              <w:t xml:space="preserve"> punktu precizēt tādējādi, ka normas par inspektora rīcību jāveido loģiskā secībā, proti, ja personai ir atteikuma tiesības, inspektoram tās vispirms ir jāizskaidro, pēc kā, saņemot piekrišanu, jāveic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Transportlīdzekļu īpašnieki vai turētāji pirms transportlīdzekļa pašdiagnostikas sistēmā uzkrāto degvielas un/vai enerģijas patēriņa datu nolasīšanas un saglabāšanas tiek informēti par iespēju atteikties no šo darbību veikšanas. Ja transportlīdzekļa īpašnieks vai turētājs nav izmantojis šīs atteikuma tiesības, inspektors veic transportlīdzekļu, kas pirmo reizi reģistrēti sākot ar 2021.gada 1.janvāri, pašdiagnostikas sistēmā uzkrāto degvielas un/vai enerģijas patēriņa datu nolasīšanu un saglabāšanu, izmantojot ierīci ar ko pieslēdzās transportlīdzekļa elektroniskajai saskarnei.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Pēc Valsts policijas amatpersonas lēmuma ierosinātu transportlīdzekļu sākotnējo pārbaudi vai sākotnējo un detalizēto pārbaudi, veic CSDD norādītā tehniskās apskates stacijā atbilstoši šo noteikumu 45. un 46.punkta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paredzēto noteikumu 42.</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vai svītrot. Vēršam uzmanību, ka šobrīd noteikumu 45. un 46. punktā precīzi tiek nodalītas sākotnējā pārbaude un detalizētā pārbaude, proti, sākotnējo pārbaudi veic uz ceļa, bet tehniskās apskates stacijā veic detalizēto pārbaudi. Tādējādi nav pietiekami saprotams šajā projekta normā paredzētais Valsts policijas amatpersonas lēmums par sākotnējās pārbaudes izpildi tehniskās apskates stacijā. Projekta anotācijā šādas rīcības pamatojums netiek skaidrots. Vēršam uzmanību, ka šāda valsts pārvaldes rīcība privātpersonai rada papildu administratīvo slogu, tādēļ tai būtu nepieciešams izvērsts skaidrojums projekta anotācijā. Papildus norādām, ka jaunajam regulējumam korekti jāiekļaujas esošajā regulējumā, jo, piemēram, noteikumu 46. punkts paredz, ka detalizēto pārbaudi veic tuvākajā tehniskās apskates stacijā, bet projekts to paredz “CSDD norādītā tehniskās apskates stacijā”. Turklāt sākotnējo pārbaudi uz ceļa veic inspektors, par ko noteikumos ir izveidots izvērsts regulējums, bet kurā brīdī Valsts policijas amatpersona pieņems projektā paredzēto lēmumu, nav saprotams. Tieslietu ministrijas ieskatā inspektoram būtu jālemj par detalizētās pārbaudes veikšanu, ja ar sākotnējo pārbaudi nevar sasniegt nepieciešamo rezultātu. Ievērojot minēto, piedāvājam noteikumos tiesisko regulējumu par Valsts policijas amatpersonas lēmumiem neveidot, jo tas pilnā mērā neatbilst likuma pilnvarojumam, proti, Valsts policijas amatpersonas neveic transportlīdzekļu tehnisko kontroli, bet darbojas savas nodalītas kompetences ietvaros un tā izriet no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netiek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tam tiek anulēta spēkā esošā atļauja piedalīties ceļu satiksmē (noņemta tehniskās apskates uzlīme)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punktā paredzēto noteikumu 54. punktu nepieciešams papildus izvērtēt un precizēt vai svītrot. Vēršam uzmanību, ka projektā paredzētā šī punkta izteikšana ar četriem apakšpunktiem nav pietiekami saprotama, jo projektā noteikumu 54.1. un 54.2. apakšpunkta regulējuma mērķis vienāds – nosaka tiesības piedalīties ceļu satiksmē ar pagaidu atļauju līdz anulējamās atļaujas termiņa beigām. Tāpat arī projektā paredzētajā noteikumu 54.3. un 54.4. apakšpunkta regulējums nav pietiekami korekts, jo braukšana bez atļaujas ir pārkāpums un tas nerada tiesības, proti, šāda veida regulējumu normatīvajos aktos neiekļauj, bet noteikumu 54.4. apakšpunkta regulējums par pagaidu atļauju neatbilst noteikumu 54. punkta ievaddaļā noteiktajam, proti, regulējumam ir attiecināms uz pastāvīgo atļauju piedalīties ceļu satiksmē. Ievērojot minēto, piedāvājam noteikumu 54. punktu negrozīt, proti, saglabāt esošajā redakcijā, jo tas ir korekts un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tiek anulēta esošā atļauja piedalīties ceļu satiksmē, noņemta tehniskās apskates uzlīme un dota pagaidu atļauja. Esošās un pagaidu atļaujas piedalīties ceļu satiksmē termiņš netiek pagarināts.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Šo noteikumu 2.pielikuma prasības piemēro to akreditēto personu tehniskās apskates stacijām, kuras tehniskās kontroles veikšanai izvēlētas publisko iepirkumu reglamentējošos tiesību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paredzēto noteikumu 97.</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Vēršam uzmanību, ka šis punkts ievietots nodaļā “Noslēguma jautājumi”, kurā jānosaka dažāds pārejas regulējums. Projektā paredzētais noteikumu 97.</w:t>
            </w:r>
            <w:r w:rsidR="00000000" w:rsidRPr="00000000" w:rsidDel="00000000">
              <w:rPr>
                <w:vertAlign w:val="superscript"/>
                <w:rtl w:val="0"/>
              </w:rPr>
              <w:t xml:space="preserve">1</w:t>
            </w:r>
            <w:r w:rsidR="00000000" w:rsidRPr="00000000" w:rsidDel="00000000">
              <w:rPr>
                <w:rtl w:val="0"/>
              </w:rPr>
              <w:t xml:space="preserve"> punkts nav uzskatāms par pārejas regulējumu, jo paredz pastāvīgi piemērojamu nosacījumu. Turklāt šāda norma ir pretrunā ar demokrātiskā sabiedrībā noteiktiem tiesiskuma principiem, proti, nav pieļaujams veidot dažādas prasības atšķirīgiem tiesību subjektiem ar vienotu kompetenci. Ievērojot minēto, noteikumu 2. pielikums un tajā noteiktās prasības ir vienādā mērā piemērojamas visās tehniskās apskates stacijās neatkarīgi no to piederības formas, proti, gan akreditēto personu tehniskās apskates stacijām, kuras izvēlētas publisko iepirkumu procesā, gan arī Ceļu satiksmes drošības direkcijas tehniskās apskates stacijām.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netiek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novecojušām prasībām šo Ministru kabineta noteikumu 1. pielikumā, kas attiecas uz papildu tālo gaismu izmantošanu, ierosinām veikt sekojošas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pielikuma “Prasības transportlīdzekļu tehniskajam stāvoklim un aprīkojumam, prasību izpildes novērtēšana un pārbaudes metodes” 4.1.4. punkta “Atbilstība sertifikācijas prasībām” A1. apakšpunktu izteikt jaunā redakcijā: “Automobiļiem drīkst uzstādīt vienu </w:t>
            </w:r>
            <w:r w:rsidR="00000000" w:rsidRPr="00000000" w:rsidDel="00000000">
              <w:rPr>
                <w:b w:val="1"/>
                <w:rtl w:val="0"/>
              </w:rPr>
              <w:t xml:space="preserve">vai vairākus</w:t>
            </w:r>
            <w:r w:rsidR="00000000" w:rsidRPr="00000000" w:rsidDel="00000000">
              <w:rPr>
                <w:rtl w:val="0"/>
              </w:rPr>
              <w:t xml:space="preserve"> papildu tālās gaismas </w:t>
            </w:r>
            <w:r w:rsidR="00000000" w:rsidRPr="00000000" w:rsidDel="00000000">
              <w:rPr>
                <w:b w:val="1"/>
                <w:rtl w:val="0"/>
              </w:rPr>
              <w:t xml:space="preserve">lukturus.</w:t>
            </w:r>
            <w:r w:rsidR="00000000" w:rsidRPr="00000000" w:rsidDel="00000000">
              <w:rPr>
                <w:rtl w:val="0"/>
              </w:rPr>
              <w:t xml:space="preserve"> </w:t>
            </w:r>
            <w:r w:rsidR="00000000" w:rsidRPr="00000000" w:rsidDel="00000000">
              <w:rPr>
                <w:b w:val="1"/>
                <w:rtl w:val="0"/>
              </w:rPr>
              <w:t xml:space="preserve">Drīkst uzstādīt kā vienu</w:t>
            </w:r>
            <w:r w:rsidR="00000000" w:rsidRPr="00000000" w:rsidDel="00000000">
              <w:rPr>
                <w:rtl w:val="0"/>
              </w:rPr>
              <w:t xml:space="preserve"> tālās gaismas lukturi ar gaismu izstarojošu virsmu vismaz </w:t>
            </w:r>
            <w:r w:rsidR="00000000" w:rsidRPr="00000000" w:rsidDel="00000000">
              <w:rPr>
                <w:b w:val="1"/>
                <w:rtl w:val="0"/>
              </w:rPr>
              <w:t xml:space="preserve">320 mm</w:t>
            </w:r>
            <w:r w:rsidR="00000000" w:rsidRPr="00000000" w:rsidDel="00000000">
              <w:rPr>
                <w:rtl w:val="0"/>
              </w:rPr>
              <w:t xml:space="preserve"> garas joslas veidā, kas novietots simetriski attiecībā pret transportlīdzekļa vidējo garenplakni.”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pielikuma 4.1.3. punkta “Slēgums” A2. apakšpunktu izteikt jaunā redakcijā: “Tālās gaismas režīmā vienlaikus ieslēgto galveno lukturu marķējumā norādīto gaismas stipruma kontrolskaitļu summa nedrīkst pārsniegt </w:t>
            </w:r>
            <w:r w:rsidR="00000000" w:rsidRPr="00000000" w:rsidDel="00000000">
              <w:rPr>
                <w:b w:val="1"/>
                <w:rtl w:val="0"/>
              </w:rPr>
              <w:t xml:space="preserve">250 vienības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prasības transportlīdzekļu gaismas ierīču uzstādīšanai Eiropas Savienībā reglamentē starptautiskie normatīvie akti, līdz ar to nacionālo prasību, kas ir pretrunā vienotajiem gaismas ierīču uzstādīšanas nosacījumiem, noteikšanai šobrīd nav pamata, t.sk., varētu radīt automobiļu lietotājiem neērtības pārvietojoties ar šādi aprīkotu transportlīdzekli citās valstīs, kur piemēro vienotās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nacionālajās prasībās iespējams veikt pēc izmaiņām starptautiskajos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"Gaisa piesārņojuma samazināšanas rīcības plāna 2020.-2030.gadam" 8.2. sadaļā iekļauto pasākumu 4.7., kas paredz pastiprināt transportlīdzekļu tehnisko (tai skaitā, emisiju) kontroli uz ceļiem, kā arī novērst atgāzu pēcapstrādes sistēmu demontēšanu. vienlaikus šis pasākums paredz, ka Satiksmes ministrijai jāizvērtē tehniskie risinājumi un pie pirmreizējās reģistrācijas Latvijā ieviesta papildus kontrole, lai turpmāk novērstu tādu transportlīdzekļu reģistrāciju, kuriem ir demontēta vai defektīva atgāzu pēcapstrādes sistēma un attiecīgi 2021.gadā jāveic atbilstošas izmaiņas Ministru kabineta noteikumos par transportlīdzekļu tehnisko apskati, kontroli uz ceļiem un transportlīdzekļu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noteikumu projektā netiek veiktas tādas izmaiņas, kas risina problēmas ar atgāzu pēcapstrādes sistēmu demontēšanu, tad lūdzam Satiksmes ministriju sniegt informāciju par iemesliem, kādēļ tas netiek risināts un par turpmākajām rīcībām šo problēmu risināšanai, informējot arī par laika grafiku kādā tas tiks paveikts.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šajā noteikumu projektā ir iekļauta prasība, ka, sākot ar 2025.gada 1.janvāri tehniskās apskates stacijām jābūt aprīkotām ar jaunu iekārtu dīzeļmotoru emisijas kontroles aprīkojuma pārbaudei - cieto daļiņu mērierīce.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līdz šim termiņam CSDD plāno eksperimentāli veikt automobiļu pārbaudi un analizēt iegūtos rezultātus, lai iesniegtu priekšlikumus normatīvo aktu grozījumiem, nosakot maksimālo atgāzu robežvērtību/normu ar kādu transportlīdzeklis var sekmīgi iziet tehnisko apskati un piedalīties koplietošanas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pārbaudes ieviešanas termiņu ievērošanu varam minēt faktu, ka jebkuras jaunas pārbaudes metodes ieviešanai ir nepieciešams, lai tirgū pietiekamā skaitā ir pieejams atbilstošs aprīkojums, ar ko iespējams veikt korektu mērījumu. Vēl nesen tirgū bija pieejamas, galvenokārt, tikai eksperimentālas cieto daļiņu mērierīces.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1.punktu paredzēts svītrot Ministru kabineta 2017. gada 30. maija noteikumu Nr. 295 "Noteikumi par transportlīdzekļu valsts tehnisko apskati un tehnisko kontroli uz ceļa" (turpmāk - Noteikumi Nr.295) 13.1.5.apakšpunktu, kas šobrīd nosaka, ka transportlīdzekļu tehniskajā kontrolē ietilpst tehniskā kontrole, kas tiek veikta, ja transportlīdzekļa tehniskā stāvokļa un tā aprīkojuma tehniskā kontrole ierosināta uz tiesībaizsardzības iestādes amatpersonas lēmuma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Noteikumos Nr.295 tiek saglabāts 85.2.apakšpunkts, kas nosaka, ka atļauja piedalīties ceļu satiksmē un tehniskās apskates uzlīme tiek anulēta, ja, veicot uz tiesībaizsardzības iestādes amatpersonas lēmuma pamata ierosinātu transportlīdzekļa tehniskā stāvokļa un tā aprīkojuma kontroli, tiek konstatēti būtiski vai bīstami trūkumi vai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Noteikumos Nr.295 tiek saglabāts 85.2.apakšpunkts, nav saprotams projekta 1.punkta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gan atbilstoši Ceļu satiksmes likuma 4.panta ceturtajai daļai, Valsts policijas kompetencē saskaņā ar likumu "Par policiju" ietilpst arī transportlīdzekļu tehniskā stāvokļa kontrole, tādējādi piešķirot pilnvaras Valsts policijas amatpersonai veikt ar transportlīdzekļa tehniskā stāvokļa kontroli saistītās darbības, tajā skaitā, pieņemt lēmumu attiecīgo kontroli veikt, svītrojot Noteikumu Nr.295 13.1.5.apakšpunktu, tiek radītas šaubas, vai pēc Valsts policijas amatpersonas lēmuma ierosināta transportlīdzekļa sākotnējā pārbaude vai sākotnējā un detalizētā pārbaude tiek veikta Noteikumu Nr.295 13.1.apakspunktā noteiktās pamatpārbaudes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precizēt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tam tiek anulēta spēkā esošā atļauja piedalīties ceļu satiksmē (noņemta tehniskās apskates uzlīme)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paredzētā 54.punkta ievaddaļai ir šaurāks tvērums nekā tās apakšpunktos norādītajam, jo tā paredz pagaidu atļaujas piedalīties ceļu satiksmē piešķiršanas nosacījumus, ja Latvijā reģistrētam transportlīdzeklim tiek anulēta spēkā esoša atļauja piedalīties ceļu satiksmē, bet 54.3. apakšpunkts regulē rīcību gadījumā, ja transportlīdzeklim nav spēkā esošas atļaujas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5.punktu, izdalot no tajā paredzētā 54.punkta 54.3.apakšpunktu kā atsevišķu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Papildināts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tiek anulēta esošā atļauja piedalīties ceļu satiksmē, noņemta tehniskās apskates uzlīme un dota pagaidu atļauja. Esošās un pagaidu atļaujas piedalīties ceļu satiksmē termiņš netiek pagarināts.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1.pielikuma II sadaļas 5.2.3. koda A1 sadaļas otrā teikuma beigās aiz apzīmējuma "kalns un sniegpārsliņa" ievietoto noslēdzošo iekavu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w:t>
    </w:r>
    <w:r>
      <w:br/>
    </w:r>
    <w:r w:rsidR="00000000" w:rsidRPr="00000000" w:rsidDel="00000000">
      <w:rPr>
        <w:rtl w:val="0"/>
      </w:rPr>
      <w:t xml:space="preserve">06.11.2023. 15.07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w:t>
    </w:r>
    <w:r>
      <w:br/>
    </w:r>
    <w:r w:rsidR="00000000" w:rsidRPr="00000000" w:rsidDel="00000000">
      <w:rPr>
        <w:rtl w:val="0"/>
      </w:rPr>
      <w:t xml:space="preserve">06.11.2023. 15.07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Izziņa_23-TA-141.docx</dc:title>
</cp:coreProperties>
</file>

<file path=docProps/custom.xml><?xml version="1.0" encoding="utf-8"?>
<Properties xmlns="http://schemas.openxmlformats.org/officeDocument/2006/custom-properties" xmlns:vt="http://schemas.openxmlformats.org/officeDocument/2006/docPropsVTypes"/>
</file>