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D96C7" w14:textId="3F1EBB57" w:rsidR="000223C6" w:rsidRDefault="000223C6" w:rsidP="00802733">
      <w:pPr>
        <w:spacing w:after="0" w:line="240" w:lineRule="auto"/>
        <w:ind w:firstLine="720"/>
        <w:jc w:val="both"/>
      </w:pPr>
      <w:bookmarkStart w:id="0" w:name="_Hlk81835958"/>
      <w:r>
        <w:t xml:space="preserve">Finanšu ministrija atbilstoši kompetencei ir izskatījusi Pārresoru koordinācijas centra  </w:t>
      </w:r>
      <w:r w:rsidR="00815CF9">
        <w:t xml:space="preserve">(turpmāk – PKC) </w:t>
      </w:r>
      <w:r>
        <w:t>precizēto informatīvo ziņojumu "Par inovāciju veicināšanu un pētniecības un attīstības mērķu noteikšanu valsts kapitālsabiedrībās" (VSS-538) (turpmāk –</w:t>
      </w:r>
      <w:r w:rsidR="00815CF9">
        <w:t xml:space="preserve"> </w:t>
      </w:r>
      <w:r>
        <w:t>ziņojum</w:t>
      </w:r>
      <w:r w:rsidR="00815CF9">
        <w:t>s</w:t>
      </w:r>
      <w:r>
        <w:t xml:space="preserve">) un Ministru kabineta sēdes </w:t>
      </w:r>
      <w:proofErr w:type="spellStart"/>
      <w:r>
        <w:t>protokollēmuma</w:t>
      </w:r>
      <w:proofErr w:type="spellEnd"/>
      <w:r>
        <w:t xml:space="preserve"> projektu un izsaka šādus iebildumus.</w:t>
      </w:r>
    </w:p>
    <w:p w14:paraId="40122D4F" w14:textId="7314EBCA" w:rsidR="00815CF9" w:rsidRDefault="000223C6" w:rsidP="00802733">
      <w:pPr>
        <w:spacing w:after="0" w:line="240" w:lineRule="auto"/>
        <w:ind w:firstLine="720"/>
        <w:jc w:val="both"/>
        <w:rPr>
          <w:color w:val="FF0000"/>
        </w:rPr>
      </w:pPr>
      <w:r>
        <w:t>1. Ņemot vērā, ka gadījumā, ja valsts kapitālsabiedrība papildus tās valsts deleģētajām funkcijām iesaistās saimnieciskās darbības veikšanā, tai ir jāievēro komercdarbības atbalsta kontroles regulējums, lūdzam šādu informāciju ietvert arī ziņojum</w:t>
      </w:r>
      <w:r w:rsidR="00815CF9">
        <w:t>ā</w:t>
      </w:r>
      <w:r>
        <w:t xml:space="preserve">. </w:t>
      </w:r>
    </w:p>
    <w:p w14:paraId="7DBB7375" w14:textId="04A68E7C" w:rsidR="00815CF9" w:rsidRDefault="00815CF9" w:rsidP="00802733">
      <w:pPr>
        <w:spacing w:after="0" w:line="240" w:lineRule="auto"/>
        <w:ind w:firstLine="720"/>
        <w:jc w:val="both"/>
        <w:rPr>
          <w:color w:val="FF0000"/>
        </w:rPr>
      </w:pPr>
      <w:r w:rsidRPr="00802733">
        <w:t xml:space="preserve">2. </w:t>
      </w:r>
      <w:r w:rsidR="005E1354">
        <w:t>Z</w:t>
      </w:r>
      <w:r w:rsidRPr="00802733">
        <w:t xml:space="preserve">iņojuma izziņā ir norādīts, ka PKC precizētā </w:t>
      </w:r>
      <w:r w:rsidR="00431171" w:rsidRPr="00802733">
        <w:t>z</w:t>
      </w:r>
      <w:r w:rsidRPr="00802733">
        <w:t xml:space="preserve">iņojuma 1. nodaļas teksts tika papildināts ar jēdzienu “pētniecība un attīstība” (turpmāk - P&amp;A) un “inovācijas” skaidrojumu. Vēršam uzmanību uz to, ka </w:t>
      </w:r>
      <w:r w:rsidR="00431171" w:rsidRPr="00802733">
        <w:t>z</w:t>
      </w:r>
      <w:r w:rsidRPr="00802733">
        <w:t xml:space="preserve">iņojuma attiecīgajā nodaļā tekstā ir definēti termini “pētniecība un attīstība” un “inovācijas” atbilstoši pētniecības definīcijai Centrālās statistikas pārvaldes (turpmāk – CSP) datubāzē. Ņemot vērā, ka atbilstoši minētajai CSP definīcijai skaidroti faktiski tiek tikai “Inovācijas” un “Pētniecības” termini, lūdzam </w:t>
      </w:r>
      <w:r w:rsidR="00431171" w:rsidRPr="00802733">
        <w:t>z</w:t>
      </w:r>
      <w:r w:rsidRPr="00802733">
        <w:t>iņojumā iekļaut skaidrojumu, kā šajā kontekstā tiek saprasts termins “Attīstība”, jo no esošās definīcijas var saprast, ka termins “Pētniecība” ir tas pats, kas “Attīstība”, lai gan tie ir divi dažādi termini, un, piemēram, kapitālieguldījumi, kas veikti jaunas tehnoloģiskas sistēmas ieviešanā, ir uzskatāmi par ieguldījumu gan inovācijā, gan attīstībā, un tie attiecīgi nodrošina kapitālsabiedrības vērtības palielināšanu, bet tiem var nebūt saistības ar ieguldījumu pētniecībā. Ņemot vērā iepriekš minēto termini “Pētniecība” un “</w:t>
      </w:r>
      <w:r>
        <w:t xml:space="preserve">Attīstība” būtu jāskaidro atsevišķi, jo šobrīd </w:t>
      </w:r>
      <w:r w:rsidRPr="001A1A4A">
        <w:t xml:space="preserve"> </w:t>
      </w:r>
      <w:r w:rsidR="00431171">
        <w:t>z</w:t>
      </w:r>
      <w:r w:rsidRPr="001A1A4A">
        <w:t>iņojumā ietvertās definīcijas nav skaidri saprotam</w:t>
      </w:r>
      <w:r>
        <w:t>a</w:t>
      </w:r>
      <w:r w:rsidRPr="001A1A4A">
        <w:t xml:space="preserve">s. </w:t>
      </w:r>
    </w:p>
    <w:p w14:paraId="1BE71E44" w14:textId="04B4E652" w:rsidR="00815CF9" w:rsidRDefault="00815CF9" w:rsidP="00802733">
      <w:pPr>
        <w:spacing w:after="0" w:line="240" w:lineRule="auto"/>
        <w:ind w:firstLine="720"/>
        <w:jc w:val="both"/>
        <w:rPr>
          <w:color w:val="FF0000"/>
        </w:rPr>
      </w:pPr>
      <w:r w:rsidRPr="00802733">
        <w:t xml:space="preserve">3. Ierosinām papildināt </w:t>
      </w:r>
      <w:r w:rsidR="00431171" w:rsidRPr="00802733">
        <w:t>z</w:t>
      </w:r>
      <w:r w:rsidRPr="00802733">
        <w:t xml:space="preserve">iņojuma 3.4.1. sadaļā “tirgus nepilnības” jēdziena skaidrojumu, ņemot vērā, ka izložu tirgū konkurence nav vēlama, jo šajā jomā konkurence, atstājot </w:t>
      </w:r>
      <w:r>
        <w:t xml:space="preserve">pakalpojumus </w:t>
      </w:r>
      <w:r w:rsidRPr="001A1A4A">
        <w:t xml:space="preserve">brīvā tirgū, rada negatīvas sekas </w:t>
      </w:r>
      <w:r w:rsidR="00431171">
        <w:t>–</w:t>
      </w:r>
      <w:r w:rsidRPr="001A1A4A">
        <w:t xml:space="preserve"> ekonomiskās un sociālās labklājības zaudējumus.</w:t>
      </w:r>
      <w:r w:rsidRPr="00D92C06">
        <w:t xml:space="preserve"> </w:t>
      </w:r>
      <w:r>
        <w:t xml:space="preserve">Turklāt izlozes ir izslēgtas no </w:t>
      </w:r>
      <w:r w:rsidRPr="001A1A4A">
        <w:t>Pakalpojumu direktīvas</w:t>
      </w:r>
      <w:r w:rsidRPr="001A1A4A">
        <w:rPr>
          <w:vertAlign w:val="superscript"/>
        </w:rPr>
        <w:footnoteReference w:id="1"/>
      </w:r>
      <w:r>
        <w:t>.</w:t>
      </w:r>
      <w:r w:rsidRPr="00815CF9">
        <w:rPr>
          <w:vertAlign w:val="superscript"/>
        </w:rPr>
        <w:t xml:space="preserve"> </w:t>
      </w:r>
      <w:r w:rsidRPr="00D92C06">
        <w:t xml:space="preserve">Tāpēc </w:t>
      </w:r>
      <w:r w:rsidRPr="001A1A4A">
        <w:t>Latvijā, ievērojot Azartspēļu un izložu likuma mērķi - “nodrošināt sabiedrības interešu un spēlētāju tiesību aizsardzību”, valsts mēroga izložu organizēšanas jomā tirgus nepilnība tiek novērsta, īstenojot valsts mēroga izložu monopolu.</w:t>
      </w:r>
      <w:r w:rsidRPr="00D92C06">
        <w:t xml:space="preserve"> </w:t>
      </w:r>
      <w:r>
        <w:t xml:space="preserve">Atbilstoši iepriekš minētajam, lūdzam nodrošināt tirgus nepilnības un konkurences izpratnes saskaņotību visā </w:t>
      </w:r>
      <w:r w:rsidR="00431171">
        <w:t>z</w:t>
      </w:r>
      <w:r>
        <w:t xml:space="preserve">iņojumā, t.sk. 5.nodaļas 1.punktā, ņemot vērā, ka pastāv nozares, kurās konkurences veicināšana nav vēlama. </w:t>
      </w:r>
    </w:p>
    <w:p w14:paraId="1BF2D3A3" w14:textId="2AF47EE7" w:rsidR="0028567E" w:rsidRDefault="00E4581B" w:rsidP="0028567E">
      <w:pPr>
        <w:spacing w:after="0" w:line="240" w:lineRule="auto"/>
        <w:ind w:firstLine="720"/>
        <w:jc w:val="both"/>
        <w:rPr>
          <w:color w:val="FF0000"/>
        </w:rPr>
      </w:pPr>
      <w:r w:rsidRPr="00802733">
        <w:t>4. A</w:t>
      </w:r>
      <w:r w:rsidR="00815CF9" w:rsidRPr="00802733">
        <w:t>tzinīgi novērtē</w:t>
      </w:r>
      <w:r w:rsidRPr="00802733">
        <w:t>jam</w:t>
      </w:r>
      <w:r w:rsidR="00815CF9" w:rsidRPr="00802733">
        <w:t xml:space="preserve"> un atbalsta</w:t>
      </w:r>
      <w:r w:rsidRPr="00802733">
        <w:t>m</w:t>
      </w:r>
      <w:r w:rsidR="00815CF9" w:rsidRPr="00802733">
        <w:t xml:space="preserve"> pētniecības un attīstības mērķu izvirzīšanu un īstenošanu </w:t>
      </w:r>
      <w:r w:rsidR="00815CF9" w:rsidRPr="00846C7B">
        <w:t xml:space="preserve">valsts kapitālsabiedrību darbībā atbilstoši </w:t>
      </w:r>
      <w:r>
        <w:t>z</w:t>
      </w:r>
      <w:r w:rsidR="00815CF9" w:rsidRPr="00846C7B">
        <w:t xml:space="preserve">iņojuma 5.nodaļas 1.priekšlikumam, vienlaikus </w:t>
      </w:r>
      <w:r w:rsidR="00815CF9">
        <w:t>v</w:t>
      </w:r>
      <w:r w:rsidR="00815CF9" w:rsidRPr="00846C7B">
        <w:t>ēr</w:t>
      </w:r>
      <w:r w:rsidR="00815CF9">
        <w:t>šot</w:t>
      </w:r>
      <w:r w:rsidR="00815CF9" w:rsidRPr="00846C7B">
        <w:t xml:space="preserve"> uzmanību uz to, ka P&amp;A mērķu izvirzīšana un īstenošana jau šobrīd </w:t>
      </w:r>
      <w:r w:rsidR="00815CF9">
        <w:t>notiek</w:t>
      </w:r>
      <w:r w:rsidR="00815CF9" w:rsidRPr="00846C7B">
        <w:t xml:space="preserve">, iestrādājot tos </w:t>
      </w:r>
      <w:r w:rsidR="00334FFF" w:rsidRPr="00334FFF">
        <w:t>valsts kapitālsabiedrību (turpmāk – VKS)</w:t>
      </w:r>
      <w:r w:rsidR="00815CF9" w:rsidRPr="00846C7B">
        <w:t xml:space="preserve"> vidēja termiņa darbības stratēģijā (turpmāk – Stratēģija)</w:t>
      </w:r>
      <w:r w:rsidR="00815CF9">
        <w:t>,</w:t>
      </w:r>
      <w:r w:rsidR="00815CF9" w:rsidRPr="00846C7B">
        <w:t xml:space="preserve"> kā to paredz PKC izstrādātās “Valsts kapitālsabiedrību vidēja termiņa darbības stratēģijas izstrādes vadlīnijas”.</w:t>
      </w:r>
      <w:r w:rsidRPr="00E4581B">
        <w:rPr>
          <w:color w:val="FF0000"/>
        </w:rPr>
        <w:t xml:space="preserve"> </w:t>
      </w:r>
    </w:p>
    <w:p w14:paraId="424F2ECA" w14:textId="00B536B8" w:rsidR="0028567E" w:rsidRDefault="0028567E" w:rsidP="00EF3229">
      <w:pPr>
        <w:spacing w:after="0" w:line="240" w:lineRule="auto"/>
        <w:ind w:firstLine="720"/>
        <w:jc w:val="both"/>
        <w:rPr>
          <w:color w:val="FF0000"/>
        </w:rPr>
      </w:pPr>
      <w:r w:rsidRPr="0028567E">
        <w:t xml:space="preserve">5. </w:t>
      </w:r>
      <w:r>
        <w:t>Ziņojums ir precizēts norādot, ka iniciatīvas grupā veikta astoņu VKS aptauja izkristalizējusi VKS identificētos šķēršļus pētniecības un inovāciju risinājumu attīstībai, un no identificētajiem iemesliem uz nepilnībām vai trūkumiem VKS pārvaldības sistēmā. Līdz ar to vēršam uzmanību, ka grozījumu ierosinājums ir balstīts tikai uz astoņu VKS  (SIA “Latvijas mobilais telefons”, SIA “</w:t>
      </w:r>
      <w:proofErr w:type="spellStart"/>
      <w:r>
        <w:t>Tet</w:t>
      </w:r>
      <w:proofErr w:type="spellEnd"/>
      <w:r>
        <w:t xml:space="preserve">”, AS “Latvenergo”, VAS “Latvijas Valsts meži”, VAS “Latvijas Dzelzceļš”, VAS “Latvijas Pasts”, VAS “Latvijas Valsts radio un televīzijas centrs”, VAS “Elektroniskie sakari”) viedokļiem.  Atkārtoti norādām, ka respondentu loks ir būtisks, lai iegūtu pilnīgu priekšstatu par </w:t>
      </w:r>
      <w:r>
        <w:lastRenderedPageBreak/>
        <w:t xml:space="preserve">iespējamajiem ierobežojumiem pētniecības un inovācijas risinājumu attīstībai visās VKS un citu publisku personu kapitālsabiedrībās, jo Valsts pārvaldes iekārtas likuma 88.panta nosacījumi attiecas uz visām publiskas personas kapitālsabiedrībām. Ievērojot iepriekš minēto, aicinām PKC  ziņojumā skaidrot, kādēļ nav iespējams veikt plašāku aptauja, aptaujājot arī citas VKS un citu publisku personu kapitālsabiedrības,  kā arī vai ir pamatoti izdarīt secinājumus balstoties tikai uz astoņu VKS viedokļiem. </w:t>
      </w:r>
    </w:p>
    <w:p w14:paraId="515338D7" w14:textId="4300D94E" w:rsidR="00E4581B" w:rsidRDefault="00EF3229" w:rsidP="00802733">
      <w:pPr>
        <w:spacing w:after="0" w:line="240" w:lineRule="auto"/>
        <w:ind w:firstLine="720"/>
        <w:jc w:val="both"/>
        <w:rPr>
          <w:color w:val="FF0000"/>
        </w:rPr>
      </w:pPr>
      <w:r>
        <w:t>6</w:t>
      </w:r>
      <w:r w:rsidR="00E4581B" w:rsidRPr="00802733">
        <w:t>. I</w:t>
      </w:r>
      <w:r w:rsidR="00815CF9" w:rsidRPr="00802733">
        <w:t>ebilst</w:t>
      </w:r>
      <w:r w:rsidR="00E4581B" w:rsidRPr="00802733">
        <w:t>am</w:t>
      </w:r>
      <w:r w:rsidR="00815CF9" w:rsidRPr="00802733">
        <w:t xml:space="preserve"> pret </w:t>
      </w:r>
      <w:r w:rsidR="00E4581B" w:rsidRPr="00802733">
        <w:t>z</w:t>
      </w:r>
      <w:r w:rsidR="00815CF9" w:rsidRPr="00802733">
        <w:t xml:space="preserve">iņojuma 5.nodaļas 3.punktā izteikto priekšlikumu: </w:t>
      </w:r>
      <w:bookmarkStart w:id="1" w:name="_Hlk72856465"/>
      <w:r w:rsidR="00815CF9" w:rsidRPr="00802733">
        <w:t xml:space="preserve">“Lai novērstu </w:t>
      </w:r>
      <w:r w:rsidR="00815CF9" w:rsidRPr="00846C7B">
        <w:t xml:space="preserve">atšķirīgu skatījumu uz </w:t>
      </w:r>
      <w:r w:rsidR="00815CF9">
        <w:t>valsts kapitālsabiedrību</w:t>
      </w:r>
      <w:r w:rsidR="00815CF9" w:rsidRPr="00846C7B">
        <w:t xml:space="preserve"> lomu un iesaisti komercdarbībā</w:t>
      </w:r>
      <w:r w:rsidR="00815CF9">
        <w:t>,</w:t>
      </w:r>
      <w:r w:rsidR="00815CF9" w:rsidRPr="00846C7B">
        <w:t xml:space="preserve"> </w:t>
      </w:r>
      <w:r w:rsidR="00815CF9">
        <w:t>Pārresoru koordinācijas centram uzsākt pētniecības un attīstības</w:t>
      </w:r>
      <w:r w:rsidR="00815CF9" w:rsidRPr="00846C7B">
        <w:t xml:space="preserve"> atbalstošas valsts īpašumtiesību politikas izstrādi</w:t>
      </w:r>
      <w:r w:rsidR="00815CF9">
        <w:t>.</w:t>
      </w:r>
      <w:bookmarkEnd w:id="1"/>
      <w:r w:rsidR="00815CF9" w:rsidRPr="00846C7B">
        <w:t xml:space="preserve">” </w:t>
      </w:r>
      <w:r w:rsidR="00E4581B">
        <w:t>Vēršam uzmanību, ka</w:t>
      </w:r>
      <w:r w:rsidR="00815CF9" w:rsidRPr="00846C7B">
        <w:t xml:space="preserve"> nav nepieciešams pārskatīt visu valsts kapitāla pārvaldības sistēmu, lai nodrošinātu P&amp;A īstenošanu VKS. VKS īsteno savu darbību atbilstoši noteiktajam normatīvo aktu ietvaram un labai pārvaldības praksei, t.sk. atbilstoši PKC izstrādātajām pārvaldības īstenošanas vadlīnijām, kas kopumā veido daudzu gadu laikā labi izveidotu VKS pārvaldes sistēmu. </w:t>
      </w:r>
      <w:r w:rsidR="00E4581B">
        <w:t>V</w:t>
      </w:r>
      <w:r w:rsidR="00815CF9">
        <w:t xml:space="preserve">alsts īpašumtiesību politikas izstrādes vietā būtu īstenojams skaidrojošs darbs (vadlīnijas) par Valsts pārvaldes iekārtas likuma vienotu interpretāciju, kā arī par pētījumu un inovāciju veikšanas lietderīguma atzīšanu </w:t>
      </w:r>
      <w:r w:rsidR="00815CF9" w:rsidRPr="001A1A4A">
        <w:t>Publiskas personas finanšu līdzekļu un mantas izšķērdēšanas novēršanas likuma</w:t>
      </w:r>
      <w:r w:rsidR="00815CF9">
        <w:t xml:space="preserve"> izpratnē</w:t>
      </w:r>
      <w:r w:rsidR="00815CF9" w:rsidRPr="001A1A4A">
        <w:t xml:space="preserve">. </w:t>
      </w:r>
    </w:p>
    <w:p w14:paraId="69993EC5" w14:textId="129D627A" w:rsidR="003C7868" w:rsidRDefault="00EF3229" w:rsidP="00802733">
      <w:pPr>
        <w:spacing w:after="0" w:line="240" w:lineRule="auto"/>
        <w:ind w:firstLine="720"/>
        <w:jc w:val="both"/>
        <w:rPr>
          <w:color w:val="FF0000"/>
        </w:rPr>
      </w:pPr>
      <w:r>
        <w:t>7</w:t>
      </w:r>
      <w:r w:rsidR="00E4581B" w:rsidRPr="00802733">
        <w:t xml:space="preserve">. </w:t>
      </w:r>
      <w:r w:rsidR="00815CF9" w:rsidRPr="00802733">
        <w:t xml:space="preserve">Ņemot vērā, ka </w:t>
      </w:r>
      <w:r w:rsidR="00E4581B" w:rsidRPr="00802733">
        <w:t>z</w:t>
      </w:r>
      <w:r w:rsidR="00815CF9" w:rsidRPr="00802733">
        <w:t xml:space="preserve">iņojumā iekļautajā gaidu vēstulē pirmie trīs punkti runā par valsts līdzdalību </w:t>
      </w:r>
      <w:r w:rsidR="00815CF9">
        <w:t>VKS, ierosin</w:t>
      </w:r>
      <w:r w:rsidR="00E4581B">
        <w:t>ām</w:t>
      </w:r>
      <w:r w:rsidR="00815CF9">
        <w:t xml:space="preserve"> attiecībā uz tām kapitālsabiedrībām, kurām ar likumu ir </w:t>
      </w:r>
      <w:r w:rsidR="00815CF9" w:rsidRPr="005E1354">
        <w:t>noteikts, ka visas kapitāldaļas pieder valstij un akcijas nav atsavināmas un privatizējamas, kā tas ir, piemēram, Latvijas Loto gadījumā</w:t>
      </w:r>
      <w:r w:rsidR="00815CF9" w:rsidRPr="005E1354">
        <w:rPr>
          <w:rStyle w:val="FootnoteReference"/>
        </w:rPr>
        <w:footnoteReference w:id="2"/>
      </w:r>
      <w:r w:rsidR="00815CF9" w:rsidRPr="005E1354">
        <w:t xml:space="preserve">, neattiecināt šos akcionāra gaidu vēstules punktus attiecībā uz valsts līdzdalību, jo likumdevējs jau ir izteicis savu gribu, nostiprinot šo VKS piederību valstij tiesību aktos. Tāpat jāņem vērā, ka VKS Stratēģijas izstrādes process jau paredz katra nākamā stratēģijas perioda </w:t>
      </w:r>
      <w:proofErr w:type="spellStart"/>
      <w:r w:rsidR="00815CF9" w:rsidRPr="005E1354">
        <w:t>nefinanšu</w:t>
      </w:r>
      <w:proofErr w:type="spellEnd"/>
      <w:r w:rsidR="00815CF9" w:rsidRPr="005E1354">
        <w:t xml:space="preserve"> un finanšu mērķu, t.sk. ieguldījumu inovācijās/P&amp;A saskaņošanu valdes, padomes un akcionāra līmeņos. Papildus iepriekš minētajam, precizētā </w:t>
      </w:r>
      <w:r w:rsidR="00E4581B" w:rsidRPr="005E1354">
        <w:t>z</w:t>
      </w:r>
      <w:r w:rsidR="00815CF9" w:rsidRPr="005E1354">
        <w:t xml:space="preserve">iņojuma 3.1.1.sadaļā ir dota atsauce: “Jo mazāk akcionārs iesaistās </w:t>
      </w:r>
      <w:r w:rsidR="00815CF9" w:rsidRPr="001A1A4A">
        <w:t xml:space="preserve">kapitālsabiedrības stratēģisko mērķu uzstādīšanā, jo lielāka atbildība gulstas uz valdes pleciem.” Taču </w:t>
      </w:r>
      <w:r w:rsidR="00815CF9">
        <w:t xml:space="preserve">no tiesiskā aspekta </w:t>
      </w:r>
      <w:r w:rsidR="00815CF9" w:rsidRPr="001A1A4A">
        <w:t xml:space="preserve">valdes atbildība saglabājas nemainīgā apmērā kā vienā tā otrā gadījumā. </w:t>
      </w:r>
      <w:r w:rsidR="00603A48" w:rsidRPr="00603A48">
        <w:t>Turklāt arī esošā Stratēģijas izstrādes kārtība paredz Stratēģijas mērķu saskaņošanu (skat. pamatojumu šīs vēstules 4.punktā)</w:t>
      </w:r>
      <w:r w:rsidR="00815CF9" w:rsidRPr="001A1A4A">
        <w:t xml:space="preserve">. </w:t>
      </w:r>
    </w:p>
    <w:p w14:paraId="39129DFD" w14:textId="77777777" w:rsidR="00802733" w:rsidRDefault="00802733" w:rsidP="00802733">
      <w:pPr>
        <w:spacing w:after="0" w:line="240" w:lineRule="auto"/>
        <w:ind w:firstLine="720"/>
        <w:jc w:val="both"/>
        <w:rPr>
          <w:color w:val="FF0000"/>
        </w:rPr>
      </w:pPr>
    </w:p>
    <w:p w14:paraId="167E013C" w14:textId="5A990A44" w:rsidR="003C7868" w:rsidRPr="003C7868" w:rsidRDefault="00802733" w:rsidP="00802733">
      <w:pPr>
        <w:tabs>
          <w:tab w:val="left" w:pos="993"/>
        </w:tabs>
        <w:spacing w:after="0" w:line="240" w:lineRule="auto"/>
        <w:ind w:firstLine="709"/>
        <w:jc w:val="both"/>
      </w:pPr>
      <w:r>
        <w:t>Vienlaikus izsakām šādus p</w:t>
      </w:r>
      <w:r w:rsidR="003C7868" w:rsidRPr="003C7868">
        <w:t>riekšlikum</w:t>
      </w:r>
      <w:r>
        <w:t>us</w:t>
      </w:r>
      <w:r w:rsidR="003C7868" w:rsidRPr="003C7868">
        <w:t>.</w:t>
      </w:r>
    </w:p>
    <w:p w14:paraId="043A3943" w14:textId="3AD798CB" w:rsidR="00802733" w:rsidRDefault="005D3424" w:rsidP="00802733">
      <w:pPr>
        <w:tabs>
          <w:tab w:val="left" w:pos="993"/>
        </w:tabs>
        <w:spacing w:after="0" w:line="240" w:lineRule="auto"/>
        <w:ind w:firstLine="709"/>
        <w:jc w:val="both"/>
      </w:pPr>
      <w:r>
        <w:t>1</w:t>
      </w:r>
      <w:r w:rsidR="00802733">
        <w:t xml:space="preserve">. Ievērojot to, ka Publiskas personas finanšu līdzekļu un mantas izšķērdēšanas novēršanas likuma (turpmāk – Izšķērdēšanas likums) 3.panta interpretācija informatīvajā ziņojumā tiek norādīta, kā vērā ņemams šķērslis, kas netieši ietekmē VKS motivāciju veikt ieguldījumus pētniecībā un attīstībā un inovatīvu risinājumu meklēšanā, aicinām redakcionāli precizēt ziņojumu un skaidrojumu par  Izšķērdēšanas likuma piemērošanu ietvert sadaļas “3.4. Normatīvo aktu interpretācijas P&amp;A veicināšanai“, atsevišķā apakšpunktā. </w:t>
      </w:r>
    </w:p>
    <w:p w14:paraId="796B7DDB" w14:textId="7C0D7F9B" w:rsidR="00802733" w:rsidRDefault="005D3424" w:rsidP="005E1354">
      <w:pPr>
        <w:tabs>
          <w:tab w:val="left" w:pos="709"/>
        </w:tabs>
        <w:spacing w:after="0" w:line="240" w:lineRule="auto"/>
        <w:ind w:firstLine="709"/>
        <w:jc w:val="both"/>
      </w:pPr>
      <w:r>
        <w:t>2</w:t>
      </w:r>
      <w:r w:rsidR="00802733">
        <w:t>.</w:t>
      </w:r>
      <w:r w:rsidR="005E1354">
        <w:t xml:space="preserve"> </w:t>
      </w:r>
      <w:r w:rsidR="00802733">
        <w:t>Lūdzam aktualizēt ziņojuma (16.lpp.) norādīto šādu informāciju: “Detalizētāki ieteikumi tiek izstrādāti arī pētījumā “</w:t>
      </w:r>
      <w:proofErr w:type="spellStart"/>
      <w:r w:rsidR="00802733">
        <w:t>State</w:t>
      </w:r>
      <w:proofErr w:type="spellEnd"/>
      <w:r w:rsidR="00802733">
        <w:t xml:space="preserve"> </w:t>
      </w:r>
      <w:proofErr w:type="spellStart"/>
      <w:r w:rsidR="00802733">
        <w:t>ownership</w:t>
      </w:r>
      <w:proofErr w:type="spellEnd"/>
      <w:r w:rsidR="00802733">
        <w:t xml:space="preserve"> </w:t>
      </w:r>
      <w:proofErr w:type="spellStart"/>
      <w:r w:rsidR="00802733">
        <w:t>policy</w:t>
      </w:r>
      <w:proofErr w:type="spellEnd"/>
      <w:r w:rsidR="00802733">
        <w:t xml:space="preserve"> </w:t>
      </w:r>
      <w:proofErr w:type="spellStart"/>
      <w:r w:rsidR="00802733">
        <w:t>review</w:t>
      </w:r>
      <w:proofErr w:type="spellEnd"/>
      <w:r w:rsidR="00802733">
        <w:t xml:space="preserve"> – II”, kas tiks pabeigts 2021.gada pirmajā ceturksnī”, ievērojot, ka šobrīd jau rit trešais ceturksnis. </w:t>
      </w:r>
    </w:p>
    <w:p w14:paraId="6BC0A15E" w14:textId="2CE551AC" w:rsidR="003C7868" w:rsidRPr="003C7868" w:rsidRDefault="005D3424" w:rsidP="00802733">
      <w:pPr>
        <w:tabs>
          <w:tab w:val="left" w:pos="993"/>
        </w:tabs>
        <w:spacing w:after="0" w:line="240" w:lineRule="auto"/>
        <w:ind w:firstLine="709"/>
        <w:jc w:val="both"/>
      </w:pPr>
      <w:r>
        <w:lastRenderedPageBreak/>
        <w:t>3</w:t>
      </w:r>
      <w:r w:rsidR="00802733">
        <w:t xml:space="preserve">. </w:t>
      </w:r>
      <w:r w:rsidR="003C7868" w:rsidRPr="003C7868">
        <w:t xml:space="preserve">Lūdzam izziņas 8.punkta 4.ailē precizēt atsauci uz  Informatīvā ziņojuma lpp. </w:t>
      </w:r>
      <w:r w:rsidR="005E1354">
        <w:t>t</w:t>
      </w:r>
      <w:r w:rsidR="003C7868" w:rsidRPr="003C7868">
        <w:t>o</w:t>
      </w:r>
      <w:r w:rsidR="005E1354">
        <w:t xml:space="preserve"> precizējot no</w:t>
      </w:r>
      <w:r w:rsidR="003C7868" w:rsidRPr="003C7868">
        <w:t xml:space="preserve"> 23</w:t>
      </w:r>
      <w:r w:rsidR="005E1354">
        <w:t>.</w:t>
      </w:r>
      <w:r w:rsidR="003C7868" w:rsidRPr="003C7868">
        <w:t xml:space="preserve"> uz 24.lpp. </w:t>
      </w:r>
    </w:p>
    <w:bookmarkEnd w:id="0"/>
    <w:p w14:paraId="39B02F21" w14:textId="31FCAEBA" w:rsidR="000223C6" w:rsidRDefault="000223C6" w:rsidP="00802733">
      <w:pPr>
        <w:tabs>
          <w:tab w:val="left" w:pos="993"/>
        </w:tabs>
        <w:ind w:firstLine="709"/>
        <w:jc w:val="both"/>
      </w:pPr>
    </w:p>
    <w:p w14:paraId="45C7F242" w14:textId="22A59BE7" w:rsidR="00327FB7" w:rsidRDefault="00327FB7" w:rsidP="00802733">
      <w:pPr>
        <w:tabs>
          <w:tab w:val="left" w:pos="993"/>
        </w:tabs>
        <w:ind w:firstLine="709"/>
        <w:jc w:val="both"/>
      </w:pPr>
    </w:p>
    <w:p w14:paraId="465AC329" w14:textId="22FDD85C" w:rsidR="00327FB7" w:rsidRDefault="00327FB7" w:rsidP="00802733">
      <w:pPr>
        <w:tabs>
          <w:tab w:val="left" w:pos="993"/>
        </w:tabs>
        <w:ind w:firstLine="709"/>
        <w:jc w:val="both"/>
      </w:pPr>
    </w:p>
    <w:p w14:paraId="7F61FA70" w14:textId="77777777" w:rsidR="00327FB7" w:rsidRDefault="00327FB7" w:rsidP="00802733">
      <w:pPr>
        <w:tabs>
          <w:tab w:val="left" w:pos="993"/>
        </w:tabs>
        <w:ind w:firstLine="709"/>
        <w:jc w:val="both"/>
      </w:pPr>
    </w:p>
    <w:p w14:paraId="01B694BF" w14:textId="1B52B581" w:rsidR="000223C6" w:rsidRPr="00327FB7" w:rsidRDefault="00B746E8" w:rsidP="00327FB7">
      <w:pPr>
        <w:spacing w:after="0" w:line="240" w:lineRule="auto"/>
        <w:jc w:val="both"/>
        <w:rPr>
          <w:sz w:val="20"/>
          <w:szCs w:val="20"/>
        </w:rPr>
      </w:pPr>
      <w:r w:rsidRPr="00327FB7">
        <w:rPr>
          <w:sz w:val="20"/>
          <w:szCs w:val="20"/>
        </w:rPr>
        <w:t>Āboliņa 67083963</w:t>
      </w:r>
    </w:p>
    <w:p w14:paraId="4F09D986" w14:textId="033A184F" w:rsidR="00B746E8" w:rsidRPr="00327FB7" w:rsidRDefault="00B746E8" w:rsidP="00327FB7">
      <w:pPr>
        <w:spacing w:after="0" w:line="240" w:lineRule="auto"/>
        <w:jc w:val="both"/>
        <w:rPr>
          <w:sz w:val="20"/>
          <w:szCs w:val="20"/>
        </w:rPr>
      </w:pPr>
      <w:hyperlink r:id="rId7" w:history="1">
        <w:r w:rsidRPr="00327FB7">
          <w:rPr>
            <w:rStyle w:val="Hyperlink"/>
            <w:color w:val="auto"/>
            <w:sz w:val="20"/>
            <w:szCs w:val="20"/>
          </w:rPr>
          <w:t>ilze.abolina@fm.gov.lv</w:t>
        </w:r>
      </w:hyperlink>
      <w:r w:rsidRPr="00327FB7">
        <w:rPr>
          <w:sz w:val="20"/>
          <w:szCs w:val="20"/>
        </w:rPr>
        <w:t xml:space="preserve"> </w:t>
      </w:r>
    </w:p>
    <w:p w14:paraId="63E70D78" w14:textId="77777777" w:rsidR="00327FB7" w:rsidRPr="00327FB7" w:rsidRDefault="00327FB7" w:rsidP="00327FB7">
      <w:pPr>
        <w:spacing w:after="0" w:line="240" w:lineRule="auto"/>
        <w:rPr>
          <w:sz w:val="20"/>
          <w:szCs w:val="20"/>
          <w:lang w:val="en-US"/>
        </w:rPr>
      </w:pPr>
    </w:p>
    <w:p w14:paraId="60E6ED44" w14:textId="575E9E2D" w:rsidR="00D6485D" w:rsidRPr="00327FB7" w:rsidRDefault="000223C6" w:rsidP="00327FB7">
      <w:pPr>
        <w:spacing w:after="0" w:line="240" w:lineRule="auto"/>
        <w:rPr>
          <w:sz w:val="20"/>
          <w:szCs w:val="20"/>
          <w:lang w:val="en-US"/>
        </w:rPr>
      </w:pPr>
      <w:r w:rsidRPr="00327FB7">
        <w:rPr>
          <w:sz w:val="20"/>
          <w:szCs w:val="20"/>
          <w:lang w:val="en-US"/>
        </w:rPr>
        <w:t>Jenuševskis</w:t>
      </w:r>
      <w:r w:rsidR="006A28F5" w:rsidRPr="00327FB7">
        <w:rPr>
          <w:sz w:val="20"/>
          <w:szCs w:val="20"/>
          <w:lang w:val="en-US"/>
        </w:rPr>
        <w:t xml:space="preserve"> </w:t>
      </w:r>
      <w:r w:rsidR="006A28F5" w:rsidRPr="00327FB7">
        <w:rPr>
          <w:sz w:val="20"/>
          <w:szCs w:val="20"/>
          <w:lang w:val="en-US"/>
        </w:rPr>
        <w:t>67095478</w:t>
      </w:r>
      <w:r w:rsidRPr="00327FB7">
        <w:rPr>
          <w:sz w:val="20"/>
          <w:szCs w:val="20"/>
          <w:lang w:val="en-US"/>
        </w:rPr>
        <w:br/>
      </w:r>
      <w:hyperlink r:id="rId8" w:history="1">
        <w:r w:rsidRPr="00327FB7">
          <w:rPr>
            <w:rStyle w:val="Hyperlink"/>
            <w:color w:val="auto"/>
            <w:sz w:val="20"/>
            <w:szCs w:val="20"/>
            <w:lang w:val="en-US"/>
          </w:rPr>
          <w:t>jurijs.jenusevskis@fm.gov.lv</w:t>
        </w:r>
      </w:hyperlink>
      <w:r w:rsidRPr="00327FB7">
        <w:rPr>
          <w:sz w:val="20"/>
          <w:szCs w:val="20"/>
          <w:lang w:val="en-US"/>
        </w:rPr>
        <w:br/>
      </w:r>
    </w:p>
    <w:p w14:paraId="437EDA95" w14:textId="341A2065" w:rsidR="00D6485D" w:rsidRPr="00327FB7" w:rsidRDefault="00D6485D" w:rsidP="00327FB7">
      <w:pPr>
        <w:spacing w:after="0" w:line="240" w:lineRule="auto"/>
        <w:rPr>
          <w:sz w:val="20"/>
          <w:szCs w:val="20"/>
          <w:lang w:val="en-US"/>
        </w:rPr>
      </w:pPr>
      <w:r w:rsidRPr="00327FB7">
        <w:rPr>
          <w:sz w:val="20"/>
          <w:szCs w:val="20"/>
        </w:rPr>
        <w:t>Šaknere</w:t>
      </w:r>
      <w:r w:rsidR="006A28F5" w:rsidRPr="00327FB7">
        <w:rPr>
          <w:sz w:val="20"/>
          <w:szCs w:val="20"/>
        </w:rPr>
        <w:t xml:space="preserve"> </w:t>
      </w:r>
      <w:r w:rsidR="006A28F5" w:rsidRPr="00327FB7">
        <w:rPr>
          <w:sz w:val="20"/>
          <w:szCs w:val="20"/>
        </w:rPr>
        <w:t>67095618</w:t>
      </w:r>
      <w:r w:rsidRPr="00327FB7">
        <w:rPr>
          <w:sz w:val="20"/>
          <w:szCs w:val="20"/>
        </w:rPr>
        <w:br/>
      </w:r>
      <w:hyperlink r:id="rId9" w:history="1">
        <w:r w:rsidRPr="00327FB7">
          <w:rPr>
            <w:rStyle w:val="Hyperlink"/>
            <w:color w:val="auto"/>
            <w:sz w:val="20"/>
            <w:szCs w:val="20"/>
          </w:rPr>
          <w:t>dina.saknere@fm.gov.lv</w:t>
        </w:r>
      </w:hyperlink>
      <w:r w:rsidRPr="00327FB7">
        <w:rPr>
          <w:sz w:val="20"/>
          <w:szCs w:val="20"/>
        </w:rPr>
        <w:br/>
      </w:r>
    </w:p>
    <w:p w14:paraId="19ACCA3E" w14:textId="267C26CF" w:rsidR="006A28F5" w:rsidRPr="00327FB7" w:rsidRDefault="00802733" w:rsidP="00327FB7">
      <w:pPr>
        <w:spacing w:after="0" w:line="240" w:lineRule="auto"/>
        <w:rPr>
          <w:sz w:val="20"/>
          <w:szCs w:val="20"/>
        </w:rPr>
      </w:pPr>
      <w:proofErr w:type="spellStart"/>
      <w:r w:rsidRPr="00327FB7">
        <w:rPr>
          <w:sz w:val="20"/>
          <w:szCs w:val="20"/>
        </w:rPr>
        <w:t>Krieķe</w:t>
      </w:r>
      <w:proofErr w:type="spellEnd"/>
      <w:r w:rsidRPr="00327FB7">
        <w:rPr>
          <w:sz w:val="20"/>
          <w:szCs w:val="20"/>
        </w:rPr>
        <w:t xml:space="preserve"> </w:t>
      </w:r>
      <w:r w:rsidR="006A28F5" w:rsidRPr="00327FB7">
        <w:rPr>
          <w:sz w:val="20"/>
          <w:szCs w:val="20"/>
        </w:rPr>
        <w:t>27132820</w:t>
      </w:r>
    </w:p>
    <w:p w14:paraId="6C6B1D1D" w14:textId="0D270F1D" w:rsidR="00802733" w:rsidRPr="00327FB7" w:rsidRDefault="006A28F5" w:rsidP="00327FB7">
      <w:pPr>
        <w:spacing w:after="0" w:line="240" w:lineRule="auto"/>
        <w:rPr>
          <w:sz w:val="20"/>
          <w:szCs w:val="20"/>
        </w:rPr>
      </w:pPr>
      <w:hyperlink r:id="rId10" w:history="1">
        <w:r w:rsidRPr="00327FB7">
          <w:rPr>
            <w:rStyle w:val="Hyperlink"/>
            <w:color w:val="auto"/>
            <w:sz w:val="20"/>
            <w:szCs w:val="20"/>
          </w:rPr>
          <w:t>dace.krieke@vni.lv</w:t>
        </w:r>
      </w:hyperlink>
      <w:r w:rsidRPr="00327FB7">
        <w:rPr>
          <w:sz w:val="20"/>
          <w:szCs w:val="20"/>
        </w:rPr>
        <w:t xml:space="preserve"> </w:t>
      </w:r>
    </w:p>
    <w:p w14:paraId="3171D5F5" w14:textId="77777777" w:rsidR="006A28F5" w:rsidRPr="00327FB7" w:rsidRDefault="006A28F5" w:rsidP="00327FB7">
      <w:pPr>
        <w:pStyle w:val="BodyText"/>
        <w:tabs>
          <w:tab w:val="left" w:pos="6630"/>
        </w:tabs>
        <w:rPr>
          <w:rFonts w:ascii="Times New Roman" w:hAnsi="Times New Roman" w:cs="Times New Roman"/>
          <w:sz w:val="20"/>
          <w:szCs w:val="20"/>
          <w:lang w:val="lv-LV"/>
        </w:rPr>
      </w:pPr>
    </w:p>
    <w:p w14:paraId="7B8BD168" w14:textId="046F0079" w:rsidR="00815CF9" w:rsidRPr="00327FB7" w:rsidRDefault="00815CF9" w:rsidP="00327FB7">
      <w:pPr>
        <w:pStyle w:val="BodyText"/>
        <w:tabs>
          <w:tab w:val="left" w:pos="6630"/>
        </w:tabs>
        <w:rPr>
          <w:rFonts w:ascii="Times New Roman" w:hAnsi="Times New Roman" w:cs="Times New Roman"/>
          <w:sz w:val="20"/>
          <w:szCs w:val="20"/>
          <w:lang w:val="lv-LV"/>
        </w:rPr>
      </w:pPr>
      <w:r w:rsidRPr="00327FB7">
        <w:rPr>
          <w:rFonts w:ascii="Times New Roman" w:hAnsi="Times New Roman" w:cs="Times New Roman"/>
          <w:sz w:val="20"/>
          <w:szCs w:val="20"/>
          <w:lang w:val="lv-LV"/>
        </w:rPr>
        <w:t>Zagorska, 67213813</w:t>
      </w:r>
    </w:p>
    <w:p w14:paraId="31F0E973" w14:textId="3DED756C" w:rsidR="00815CF9" w:rsidRPr="00327FB7" w:rsidRDefault="00327FB7" w:rsidP="00327FB7">
      <w:pPr>
        <w:spacing w:after="0" w:line="240" w:lineRule="auto"/>
        <w:rPr>
          <w:sz w:val="20"/>
          <w:szCs w:val="20"/>
          <w:lang w:val="en-US"/>
        </w:rPr>
      </w:pPr>
      <w:hyperlink r:id="rId11" w:history="1">
        <w:r w:rsidR="00815CF9" w:rsidRPr="00327FB7">
          <w:rPr>
            <w:rStyle w:val="Hyperlink"/>
            <w:color w:val="auto"/>
            <w:sz w:val="20"/>
            <w:szCs w:val="20"/>
          </w:rPr>
          <w:t>daiga.zagorska@latloto.lv</w:t>
        </w:r>
      </w:hyperlink>
    </w:p>
    <w:sectPr w:rsidR="00815CF9" w:rsidRPr="00327FB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2BFB4" w14:textId="77777777" w:rsidR="00815CF9" w:rsidRDefault="00815CF9" w:rsidP="00815CF9">
      <w:pPr>
        <w:spacing w:after="0" w:line="240" w:lineRule="auto"/>
      </w:pPr>
      <w:r>
        <w:separator/>
      </w:r>
    </w:p>
  </w:endnote>
  <w:endnote w:type="continuationSeparator" w:id="0">
    <w:p w14:paraId="47326AC0" w14:textId="77777777" w:rsidR="00815CF9" w:rsidRDefault="00815CF9" w:rsidP="00815C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uller">
    <w:altName w:val="Calibri"/>
    <w:panose1 w:val="00000000000000000000"/>
    <w:charset w:val="00"/>
    <w:family w:val="modern"/>
    <w:notTrueType/>
    <w:pitch w:val="variable"/>
    <w:sig w:usb0="00000207" w:usb1="00000000" w:usb2="00000000" w:usb3="00000000" w:csb0="00000097"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1392B" w14:textId="77777777" w:rsidR="00815CF9" w:rsidRDefault="00815CF9" w:rsidP="00815CF9">
      <w:pPr>
        <w:spacing w:after="0" w:line="240" w:lineRule="auto"/>
      </w:pPr>
      <w:r>
        <w:separator/>
      </w:r>
    </w:p>
  </w:footnote>
  <w:footnote w:type="continuationSeparator" w:id="0">
    <w:p w14:paraId="4A09D534" w14:textId="77777777" w:rsidR="00815CF9" w:rsidRDefault="00815CF9" w:rsidP="00815CF9">
      <w:pPr>
        <w:spacing w:after="0" w:line="240" w:lineRule="auto"/>
      </w:pPr>
      <w:r>
        <w:continuationSeparator/>
      </w:r>
    </w:p>
  </w:footnote>
  <w:footnote w:id="1">
    <w:p w14:paraId="2EBD8777" w14:textId="77777777" w:rsidR="00815CF9" w:rsidRPr="0032188F" w:rsidRDefault="00815CF9" w:rsidP="00815CF9">
      <w:pPr>
        <w:pStyle w:val="FootnoteText"/>
        <w:rPr>
          <w:sz w:val="18"/>
          <w:szCs w:val="18"/>
          <w:lang w:val="sv-SE" w:eastAsia="ja-JP"/>
        </w:rPr>
      </w:pPr>
      <w:r w:rsidRPr="007C021C">
        <w:rPr>
          <w:rStyle w:val="FootnoteReference"/>
          <w:sz w:val="16"/>
          <w:szCs w:val="16"/>
        </w:rPr>
        <w:footnoteRef/>
      </w:r>
      <w:r w:rsidRPr="007C021C">
        <w:rPr>
          <w:sz w:val="16"/>
          <w:szCs w:val="16"/>
        </w:rPr>
        <w:t xml:space="preserve"> </w:t>
      </w:r>
      <w:r w:rsidRPr="0032188F">
        <w:rPr>
          <w:sz w:val="18"/>
          <w:szCs w:val="18"/>
          <w:lang w:val="sv-SE" w:eastAsia="ja-JP"/>
        </w:rPr>
        <w:t>Eiropas Parlamenta un Padomes 2006.gada 12.decembra Direktīva 2006/123/EK par pakalpojumiem iekšējā tirgū, publicēta 27.12.2006. Oficiālajā Vēstnesī, L 376/36 - L 376/68; Pakalpojumu direktīvā  2.panta 2.h) punkts</w:t>
      </w:r>
    </w:p>
  </w:footnote>
  <w:footnote w:id="2">
    <w:p w14:paraId="3802AE75" w14:textId="77777777" w:rsidR="00815CF9" w:rsidRPr="00846C7B" w:rsidRDefault="00815CF9" w:rsidP="00815CF9">
      <w:pPr>
        <w:pStyle w:val="FootnoteText"/>
        <w:jc w:val="both"/>
        <w:rPr>
          <w:rFonts w:ascii="Times New Roman" w:hAnsi="Times New Roman" w:cs="Times New Roman"/>
          <w:lang w:val="lv-LV"/>
        </w:rPr>
      </w:pPr>
      <w:r w:rsidRPr="005643CE">
        <w:rPr>
          <w:rStyle w:val="FootnoteReference"/>
          <w:rFonts w:ascii="Times New Roman" w:hAnsi="Times New Roman" w:cs="Times New Roman"/>
        </w:rPr>
        <w:footnoteRef/>
      </w:r>
      <w:r w:rsidRPr="00846C7B">
        <w:rPr>
          <w:rFonts w:ascii="Times New Roman" w:hAnsi="Times New Roman" w:cs="Times New Roman"/>
          <w:lang w:val="lv-LV"/>
        </w:rPr>
        <w:t xml:space="preserve"> </w:t>
      </w:r>
      <w:r w:rsidRPr="00846C7B">
        <w:rPr>
          <w:rFonts w:ascii="Times New Roman" w:hAnsi="Times New Roman" w:cs="Times New Roman"/>
          <w:lang w:val="lv-LV"/>
        </w:rPr>
        <w:t xml:space="preserve">Latvijas Republikas “Azartspēļu un izložu likums” nosaka, ka: “Latvijas Republikā valsts mēroga izložu organizēšanas monopols pieder valstij.” (61.panta pirmā daļa) un “Valsts mēroga izlozes organizē valsts kapitālsabiedrība, kurā </w:t>
      </w:r>
      <w:r w:rsidRPr="00846C7B">
        <w:rPr>
          <w:rFonts w:ascii="Times New Roman" w:hAnsi="Times New Roman" w:cs="Times New Roman"/>
          <w:i/>
          <w:lang w:val="lv-LV"/>
        </w:rPr>
        <w:t>visas kapitāla daļas pieder valstij un kuras akcijas nav atsavināmas un privatizējamas, — valsts akciju sabiedrība "Latvijas Loto".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8363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356E5F"/>
    <w:multiLevelType w:val="hybridMultilevel"/>
    <w:tmpl w:val="3F10A24E"/>
    <w:lvl w:ilvl="0" w:tplc="CA64F9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7EF30ABA"/>
    <w:multiLevelType w:val="hybridMultilevel"/>
    <w:tmpl w:val="DC0EBE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162"/>
    <w:rsid w:val="000223C6"/>
    <w:rsid w:val="0028567E"/>
    <w:rsid w:val="00327FB7"/>
    <w:rsid w:val="00334FFF"/>
    <w:rsid w:val="003C7868"/>
    <w:rsid w:val="00413EB4"/>
    <w:rsid w:val="00431171"/>
    <w:rsid w:val="00461F64"/>
    <w:rsid w:val="00475775"/>
    <w:rsid w:val="005D3424"/>
    <w:rsid w:val="005E1354"/>
    <w:rsid w:val="00603A48"/>
    <w:rsid w:val="00636162"/>
    <w:rsid w:val="006A28F5"/>
    <w:rsid w:val="00802733"/>
    <w:rsid w:val="00815CF9"/>
    <w:rsid w:val="00B746E8"/>
    <w:rsid w:val="00D6485D"/>
    <w:rsid w:val="00E4581B"/>
    <w:rsid w:val="00EF3229"/>
    <w:rsid w:val="00F93F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F1316"/>
  <w15:chartTrackingRefBased/>
  <w15:docId w15:val="{BA5F659A-5AD7-4DBE-BCE9-A2923243E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23C6"/>
    <w:pPr>
      <w:ind w:left="720"/>
      <w:contextualSpacing/>
    </w:pPr>
  </w:style>
  <w:style w:type="character" w:styleId="Hyperlink">
    <w:name w:val="Hyperlink"/>
    <w:basedOn w:val="DefaultParagraphFont"/>
    <w:uiPriority w:val="99"/>
    <w:unhideWhenUsed/>
    <w:rsid w:val="000223C6"/>
    <w:rPr>
      <w:color w:val="0563C1"/>
      <w:u w:val="single"/>
    </w:rPr>
  </w:style>
  <w:style w:type="character" w:styleId="FootnoteReference">
    <w:name w:val="footnote reference"/>
    <w:aliases w:val="Footnote Reference Number,Footnote symbol,SUPERS,Footnote Reference Superscript,Footnote Refernece,ftref,Odwołanie przypisu,BVI fnr,Footnotes refss,Ref,de nota al pie,-E Fußnotenzeichen,Footnote reference number,E,E FNZ,fr"/>
    <w:link w:val="CharCharCharChar"/>
    <w:uiPriority w:val="99"/>
    <w:qFormat/>
    <w:rsid w:val="00815CF9"/>
    <w:rPr>
      <w:vertAlign w:val="superscript"/>
    </w:rPr>
  </w:style>
  <w:style w:type="paragraph" w:styleId="FootnoteText">
    <w:name w:val="footnote text"/>
    <w:aliases w:val="Footnote Text1,Char Char Char1,Char1,Char Char Char Char Char1,Char Char Char Char Char Char Char,Char Char Char Char Char Char Char Char Char,Char Char Char Char Char Char Char C Char,Fußnote,-E Fußnotentext,footnote text,Footnote,Char,Ch"/>
    <w:basedOn w:val="Normal"/>
    <w:link w:val="FootnoteTextChar"/>
    <w:uiPriority w:val="99"/>
    <w:unhideWhenUsed/>
    <w:qFormat/>
    <w:rsid w:val="00815CF9"/>
    <w:pPr>
      <w:widowControl w:val="0"/>
      <w:autoSpaceDE w:val="0"/>
      <w:autoSpaceDN w:val="0"/>
      <w:spacing w:after="0" w:line="240" w:lineRule="auto"/>
    </w:pPr>
    <w:rPr>
      <w:rFonts w:ascii="Muller" w:eastAsia="Muller" w:hAnsi="Muller" w:cs="Muller"/>
      <w:sz w:val="20"/>
      <w:szCs w:val="20"/>
      <w:lang w:val="en-US"/>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Fußnote Char"/>
    <w:basedOn w:val="DefaultParagraphFont"/>
    <w:link w:val="FootnoteText"/>
    <w:uiPriority w:val="99"/>
    <w:rsid w:val="00815CF9"/>
    <w:rPr>
      <w:rFonts w:ascii="Muller" w:eastAsia="Muller" w:hAnsi="Muller" w:cs="Muller"/>
      <w:sz w:val="20"/>
      <w:szCs w:val="20"/>
      <w:lang w:val="en-US"/>
    </w:rPr>
  </w:style>
  <w:style w:type="paragraph" w:customStyle="1" w:styleId="CharCharCharChar">
    <w:name w:val="Char Char Char Char"/>
    <w:aliases w:val="Char2"/>
    <w:basedOn w:val="Normal"/>
    <w:next w:val="Normal"/>
    <w:link w:val="FootnoteReference"/>
    <w:uiPriority w:val="99"/>
    <w:rsid w:val="00815CF9"/>
    <w:pPr>
      <w:keepNext/>
      <w:keepLines/>
      <w:spacing w:before="120" w:line="240" w:lineRule="exact"/>
      <w:jc w:val="both"/>
      <w:outlineLvl w:val="0"/>
    </w:pPr>
    <w:rPr>
      <w:vertAlign w:val="superscript"/>
    </w:rPr>
  </w:style>
  <w:style w:type="paragraph" w:styleId="BodyText">
    <w:name w:val="Body Text"/>
    <w:basedOn w:val="Normal"/>
    <w:link w:val="BodyTextChar"/>
    <w:uiPriority w:val="1"/>
    <w:qFormat/>
    <w:rsid w:val="00815CF9"/>
    <w:pPr>
      <w:widowControl w:val="0"/>
      <w:autoSpaceDE w:val="0"/>
      <w:autoSpaceDN w:val="0"/>
      <w:spacing w:after="0" w:line="240" w:lineRule="auto"/>
    </w:pPr>
    <w:rPr>
      <w:rFonts w:ascii="Muller" w:eastAsia="Muller" w:hAnsi="Muller" w:cs="Muller"/>
      <w:sz w:val="12"/>
      <w:szCs w:val="12"/>
      <w:lang w:val="en-US"/>
    </w:rPr>
  </w:style>
  <w:style w:type="character" w:customStyle="1" w:styleId="BodyTextChar">
    <w:name w:val="Body Text Char"/>
    <w:basedOn w:val="DefaultParagraphFont"/>
    <w:link w:val="BodyText"/>
    <w:uiPriority w:val="1"/>
    <w:rsid w:val="00815CF9"/>
    <w:rPr>
      <w:rFonts w:ascii="Muller" w:eastAsia="Muller" w:hAnsi="Muller" w:cs="Muller"/>
      <w:sz w:val="12"/>
      <w:szCs w:val="12"/>
      <w:lang w:val="en-US"/>
    </w:rPr>
  </w:style>
  <w:style w:type="character" w:styleId="UnresolvedMention">
    <w:name w:val="Unresolved Mention"/>
    <w:basedOn w:val="DefaultParagraphFont"/>
    <w:uiPriority w:val="99"/>
    <w:semiHidden/>
    <w:unhideWhenUsed/>
    <w:rsid w:val="006A28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96701">
      <w:bodyDiv w:val="1"/>
      <w:marLeft w:val="0"/>
      <w:marRight w:val="0"/>
      <w:marTop w:val="0"/>
      <w:marBottom w:val="0"/>
      <w:divBdr>
        <w:top w:val="none" w:sz="0" w:space="0" w:color="auto"/>
        <w:left w:val="none" w:sz="0" w:space="0" w:color="auto"/>
        <w:bottom w:val="none" w:sz="0" w:space="0" w:color="auto"/>
        <w:right w:val="none" w:sz="0" w:space="0" w:color="auto"/>
      </w:divBdr>
    </w:div>
    <w:div w:id="773094732">
      <w:bodyDiv w:val="1"/>
      <w:marLeft w:val="0"/>
      <w:marRight w:val="0"/>
      <w:marTop w:val="0"/>
      <w:marBottom w:val="0"/>
      <w:divBdr>
        <w:top w:val="none" w:sz="0" w:space="0" w:color="auto"/>
        <w:left w:val="none" w:sz="0" w:space="0" w:color="auto"/>
        <w:bottom w:val="none" w:sz="0" w:space="0" w:color="auto"/>
        <w:right w:val="none" w:sz="0" w:space="0" w:color="auto"/>
      </w:divBdr>
    </w:div>
    <w:div w:id="108071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jurijs.jenusevskis@fm.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lze.abolina@f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iga.zagorska@latloto.lv" TargetMode="External"/><Relationship Id="rId5" Type="http://schemas.openxmlformats.org/officeDocument/2006/relationships/footnotes" Target="footnotes.xml"/><Relationship Id="rId10" Type="http://schemas.openxmlformats.org/officeDocument/2006/relationships/hyperlink" Target="mailto:dace.krieke@vni.lv" TargetMode="External"/><Relationship Id="rId4" Type="http://schemas.openxmlformats.org/officeDocument/2006/relationships/webSettings" Target="webSettings.xml"/><Relationship Id="rId9" Type="http://schemas.openxmlformats.org/officeDocument/2006/relationships/hyperlink" Target="mailto:%20dina.saknere@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4895</Words>
  <Characters>2791</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Āboliņa</dc:creator>
  <cp:keywords/>
  <dc:description/>
  <cp:lastModifiedBy>Ilze Āboliņa</cp:lastModifiedBy>
  <cp:revision>23</cp:revision>
  <dcterms:created xsi:type="dcterms:W3CDTF">2021-09-06T07:35:00Z</dcterms:created>
  <dcterms:modified xsi:type="dcterms:W3CDTF">2021-09-06T13:02:00Z</dcterms:modified>
</cp:coreProperties>
</file>