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23-TA-1936: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anotāciju un Ministru kabineta sēdes protokollēmuma projektu atbilstoši Izglītības un zinātnes ministrijas un Finanšu ministrijas rakstiski panāktajai vienošanās par noteikumu projekta papildināšanu ar finansējumu, kas no valsts budžeta ir ticis piešķirts augstas gatavības projektiem (AGP), kā arī veikt precizējumus attiecībā uz Eiropas Savienības fondu posmoto projektu (atlases 4.kārta) finansējuma saņēmēju, nodrošinot posmoto projektu atbilstību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118.a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un 19.punktu un atsauces uz noteikumu projekta punktiem 26.punktā, kā arī precizēt informāciju 34., 35., 49, 50. un 52.punktā (un citos punktos, ja nepieciešams), norādot, ka nosacījumi attiecas uz ceturtās kārtas finansējuma saņēmējiem nevis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 un 10.punkts un informācija anotācijas 1.3. sadaļas apakšsadaļā "Risinājuma apraksts"un anotācijas 3.sadaļas “Ietekme uz valsts budžetu un pašvaldību budžetiem” apakšsadaļā “Cita informācija”  atbilstoši IZM un FM rakstiski panāktajai vienošanās par noteikumu projekta papildināšanu ar finansējumu, kas no valsts budžeta ir ticis piešķirts augstas gatavības projektiem (AGP). Veikti precizējumi attiecībā uz Eiropas Savienības fondu posmoto projektu (atlases 4.kārta) finansējuma saņēmēju, nodrošinot posmoto projektu atbilstību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118.a pantam. Atbilstoši precizēts arī Ministru kabineta sēdes protokollēmuma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projekta 18. un 19.punktu un atsauces uz noteikumu projekta punktiem 26.punktā, kā arī precizēta informācija 34., 35., 49, 50. un 52.punktā, norādot, ka nosacījumi attiecas uz ceturtās kārtas finansējuma saņēmējiem nevis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28.7.7. profesionālās izglītības iestādes pielāgošana personām ar speciālām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izteikt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 t.sk. šo noteikumu  28.7.3.1. apakšpunktā minētās sporta infrastruktūras un 28.7.3.2. apakšpunktā minētās teritorijas izglītojamo atpūtas vai mācību vajadzībām vides un informācijas piekļūstamības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28.7.4. profesionālās izglītības iestādes, t.sk. šo noteikumu  28.7.3.1. apakšpunktā minētās sporta infrastruktūras un 28.7.3.2. apakšpunktā minētās teritorijas vides un informācijas piekļūstamības nodrošināšana izglītojamo atpūtas vai mācību vajadzībām;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28.7.8. vides pieejamības ekspertu konsultācijas šo noteikumu šo noteikumu 26.1., 26.2.,  26.3. un 26.4. apakšpunktā minēto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apakšpunktu ar atsauci uz 28.7.6., 28.7.3.2., 28.7.3.1, 28.7.1., 28.7.2., 28.1., 28.2. uz kuriem arī ir attiecināmas vides piekļūstamības ekspertu konsultācijas vai arī nenorādīt konkrētus punktus, pasakot, ka attiecināmas ir vides un informācijas piekļūstamības ekspertu konsultācijas.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28.7.5. vides un informācijas piekļūstamības ekspertu konsultācijas;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Lai atbalsts infrastruktūrai netiktu kvalificēts kā komercdarbības atbalsts, infrastruktūrā, kuru izmanto profesionālās izglītības iestāžu vajadzībām, pamatlīdzekļu un ilgtermiņa ieguldījumu amortizācijas periodā ir pieļaujams veikt papildinošu saimniecisko darbību ne vairāk kā 20 procentu apmērā no infrastruktūras gada jaudas platības, laika vai finanšu izteiksmē un ir pieļaujams sniegt papildpakalpojumus.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akta piemērotāja skaidru izpratni par to, kas šī atbalsta pasākuma ietvaros tiek saprasts ar papildinošu saimniecisko darbību un papildpakalpojumiem, lūdzam papildināt noteikumu projektu ar papildinošas saimnieciskās darbības un papildpakalpojumu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Lai atbalsts infrastruktūrai netiktu kvalificēts kā komercdarbības atbalsts, infrastruktūrā, kuru izmanto profesionālās izglītības iestāžu vajadzībām, pamatlīdzekļu un ilgtermiņa ieguldījumu amortizācijas periodā ir pieļaujams veikt papildinošu saimniecisko darbību ne vairāk kā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Lai atbalsts infrastruktūrai netiktu kvalificēts kā komercdarbības atbalsts, infrastruktūrā, kuru izmanto profesionālās izglītības iestāžu vajadzībām, pamatlīdzekļu un ilgtermiņa ieguldījumu amortizācijas periodā ir pieļaujams veikt papildinošu saimniecisko darbību ne vairāk kā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51.punktu vai papildināt ar jaunu MK noteikumu punktu, ietverot šādu informāciju attiecībā uz valsts atbalstu kultūrizglītības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atbalsts kultūrizglītības iestādēm nav uzskatāms par komercdarbības atbalstu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projektam nav saimnieciska rakstura, ja pašu ieņēmumi atbalstītajā objektā ir 50 procenti vai mazāki par 50 procentiem no kultūras jomas pakalpojumu sniedzēja gada budžeta atbalstītajā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pašu ieņēmumi atbalstītajā objektā ir lielāki par 50 procentiem no kultūras jomas pakalpojumu sniedzēja gada budžeta, tad projektam ir saimniecisks raksturs, tomēr tas nav kvalificējams kā atbalsts komercdarbībai, ja projektam nav ietekmes uz konkurenci un tirdzniecību Eiropas Savienības iekšējā tirgū, ko vērtē atbilstoši kādam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- 85 procenti un vairāk no visiem izglītojamiem atbalstītajā objektā gadā ir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 pārsvarā notiek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objekts netiek plaši reklamēts ārpus Latvijas teritorijas, tai skaitā netiek veiktas starptautiskas mārketinga aktivitātes un citas darbības pārrobežu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Atbalstītajā objektā šo noteikumu * minētajā gadījumā ir pieļauts veikt papildpakalpojumus, kuriem nav ietekmes uz tirdzniecību un konkurenci Eiropas Savienības iekšējā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20.maijā saskaņošanas sanāksmē ar KM panākta vienošanās un KM neuztur izteiktā iebilduma iekļaušanu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 iesniegts atkārtots atzinums par saskaņošanu bez iebildumiem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Lai atbalsts infrastruktūrai netiktu kvalificēts kā komercdarbības atbalsts, infrastruktūrā, kuru izmanto profesionālās izglītības iestāžu vajadzībām, pamatlīdzekļu un ilgtermiņa ieguldījumu amortizācijas periodā ir pieļaujams veikt papildinošu saimniecisko darbību ne vairāk kā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tekstu ar informāciju par valsts atbalsta piemērošanu kultūrizglītībai, kas izteikta šādā redakcijā: " Atbilstoši Eiropas Komisijas paziņojuma par Līguma par Eiropas Savienības darbību 107.panta 1.punktā minēto valsts atbalsta jēdzienu (2016/c 262/01)[1] 33. un 34.punktā iekļautajiem Eiropas Komisijas skaidrojumiem, pamatojoties uz Eiropas Savienības Tiesu praksi, kultūras un kultūrvēsturiskā mantojuma saglabāšanas jomā ietilpst ļoti plašs mērķu un darbību loks, tostarp arī kultūras un mākslas izglītības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jomā galvenais kritērijs, lai pierādītu valsts atbalsta neesamību, ir ieņēmumu un izdevumu attiecība atbalstītajā objektā, proti, ja ieņēmumi no saimnieciskās darbības atbalstītajā objektā ir mazāki par 50 % no kultūras jomas pakalpojumu sniedzēja gada budžeta atbalstītajā objektā, projektā netiek sniegts valsts atbalsts. Ja proporcija pārsniedz 50%, tiek vērtēta projekta ietekme uz konkurenci ES tirgū, analizējot ārvalstu izglītojamo proporciju. Ja tā pārsniedz 15% robežu, atbalsts tiek ziņots kā saderīgs, atbilstoši Eiropas Komisijas 2014. gada 17. jūnija Regulai (ES) Nr. 651/2014, ar ko noteiktas atbalsta kategorijas atzīst par saderīgām ar iekšējo tirgu, piemērojot Līguma 107. un 108.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20.maijā saskaņošanas sanāksmē ar KM panākta vienošanās un KM neuztur izteiktā iebilduma iekļaušanu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 iesniegts atkārtots atzinums par saskaņošanu bez iebildumiem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anotāciju ar informāciju par 2023./2024. mācību gadā IZM padotībā esošajās 23 profesionālās izglītības iestādēs kopējo izglītojamo skaitu dzimumu dalījumā, tostarp STEM jomas profesionālās izglītības programmās izglītojamo skaitu dalījumā pa dzimumiem. Paskaidrojam, ka statistikas dati dzimumu griezumā sekmē  politiku plānošanu un novērtēšanu.   ES un dalībvalstu līmenī ir nepieciešams vākt un analizēt statistikas datus dalījumā pa dzimumiem, kas varētu pamatot nepieciešamību iestrādāt dzimumu līdztiesības jautājumus dažādās politiku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apašsadaļa 3.lpp. papildināta ar informāciju par 2023./2024. mācību gadā IZM padotībā esošajās 23 profesionālās izglītības iestādēs kopējo izglītojamo skaitu dzimumu dalījumā, tostarp STEM jomas profesionālās izglītības programmās izglītojamo skaitu dalījumā pa dzimumiem.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“Ietekme uz valsts budžetu un pašvaldību budžetiem” 6.2.apakšpunktā iekļauto tabulu ar kolonnu nosaukumiem.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“Ietekme uz valsts budžetu un pašvaldību budžetiem” 6.2.apakšpunktā iekļautā tabula papildināta ar kolonnu nosaukumiem.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“Ietekme uz valsts budžetu un pašvaldību budžetiem” apakšsadaļā “Cita informācija” pēdējo rindkopu pirms atsaucēm (43.lpp) par informatīvā ziņojuma iesniegšanu Ministru kabinetā par radušos situāciju un nepieciešamību piešķirt papildu valsts budžeta finansējumu plānoto darbību pabeigšanai. Norādām, ka šāds priekšlikums rada neprognozējamu finansiālu ietekmi uz valsts budžetu bez finansiāla seguma, līdz ar to minētā informācija ir svītrojama.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3.sadaļas “Ietekme uz valsts budžetu un pašvaldību budžetiem” apakšsadaļā “Cita informācija” pēdējā rindkopa pirms atsaucēm (43.lpp) par informatīvā ziņojuma iesniegšanu Ministru kabinetā par radušos situāciju un nepieciešamību piešķirt papildu valsts budžeta finansējumu plānoto darbību pabeigšanai.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sadaļā ietverto tekstu pirmajā atkāpē līdz vārdam "Kopumā" pārcelt uz 8.2. sadaļu, atbilstoši HP vadlīnijās [1] noteiktajam, un apraksts  ir jāpapildina ar vispārīgajām un specifiskajām darbībām, kuras veicinās personu ar invaliditāti vienlīdzīgas iespējas un tiesības, atbilstoši 29.02.2024 AK saskaņotajai vērtēšanas kritēriju piemērošanas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vispārīgas un specifiskas horizontālā principa "Vienlīdzība, iekļaušana, nediskriminācija un pamattiesību ievērošana", kas veicina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Vispārīgas HP darbības</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tīmekļa vietnē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Specifiskas HP darbības: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attālinātā un tiešsaistes mācību procesa nodrošināšanai nodrošināts tāds IKT aprīkojums, tostarp tā lietotāja saskarne, kas ietver iespējas, elementus un funkcijas, kas personām ar invaliditāti ļauj produktam piekļūt, to uztvert, lietot, saprast un vadīt, nodrošinot izglītības procesā būtisko elementu piekļūstamību, izmantojot vairāk par vienu sensoro kanālu (tas ietver to, ka nodrošina alternatīvas iespējas vizuāliem, audio, runas un taustāmiem elementiem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izstrādāti digitāli pakalpojumi vai programmas, kur ir veikta informācijas pielāgošana specifisko lietotāju grupām (personām ar redzes, dzirdes un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kur iegūto punktu skaits nav zemāks par 8 (LM vides un informācijas piekļūstamības pašnovērtējuma metodika pieejama šeit: https://www.lm.gov.lv/lv/vides-pieklustamibas-pasnovertejums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sadaļā ietvertais teksts pirmajā atkāpē līdz vārdam "Kopumā" pārcelts uz 8.2. sadaļu, atbilstoši HP vadlīnijās noteiktajam, un apraksts  ir papildināts ar vispārīgajām un specifiskajām darbībām, kuras veicinās personu ar invaliditāti vienlīdzīgas iespējas un tiesības, atbilstoši 29.02.2024 AK saskaņotajai vērtēšanas kritēriju piemērošanas metodikai.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trešās atlases kārtas ietvaros atbalsts paredzēts valsts dibinātu Iekšlietu ministrijas padotībā esošu profesionālās izglītības iestāžu mācību vides modernizēšanai, tostarp, lai turpinātu Iekšlietu ministrijas īstenoto Katastrofu risku pārvaldības reformu, kas tika iesākta 2018.gadā Strukturālo reformu atbalsta programmas projekta „Iekšlietu nozares iestāžu efektivitātes paaugstināšana”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apakšpunktā pirms vārdiem "padotībā esošu" papildināt ar vārdiem "sistēmas iestāžu" atbilstoši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un Ieslodzījuma vietu pārvaldes amatpersonu ar speciālajām dienesta pakāpēm dienesta gaitas likuma 2. panta otrajā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trešās atlases kārtas ietvaros atbalsts paredzēts valsts dibinātu Iekšlietu ministrijas sistēmas iestāžu padotībā esošu profesionālās izglītības iestāžu mācību vides modernizēšanai, tostarp, lai turpinātu Iekšlietu ministrijas īstenoto Katastrofu risku pārvaldības reformu, kas tika iesākta 2018.gadā Strukturālo reformu atbalsta programmas projekta „Iekšlietu nozares iestāžu efektivitātes paaugstināšana”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trešās atlases kārtas ietvaros atbalsts paredzēts valsts dibinātu Iekšlietu ministrijas sistēmas iestāžu padotībā esošu profesionālās izglītības iestāžu mācību vides modernizēšanai, tostarp, lai turpinātu Iekšlietu ministrijas īstenoto Katastrofu risku pārvaldības reformu, kas tika iesākta 2018.gadā Strukturālo reformu atbalsta programmas projekta „Iekšlietu nozares iestāžu efektivitātes paaugstināšana”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nacionālais rādītājs – pakalpojumu sniegšanas veiktspēja ceturtās atlases kārtas ietvaros atbalstītajā profesionālās izglītības infrastruktūrā – 775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ar informāciju par ceturtās kārtas ietvaros sasniedzamo rādītāju, kas norādīts noteikumu projekta 7.3.apakšpunktā, kura posmojamā projekta ietvaros ir plānots sasniegt norādīto vērtību, ņemot vērā, ka norādītā sasniedzamā vērtība šobrīd atšķiras no projektos plānotās iznākuma rādītāja 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1.3.apakšadaļa Risinājuma apraksts (15.lpp.)  ir papildināta ar informāciju par nacionālā rādītāja ceturtās atlases kārtas ietvaros sadalījumu pa projektiem un skaidrojums par Rīgas Stila un modes tehnikuma projekta Nr.8.1.3.0/20/I/001 rādītāja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nacionālais rādītājs – pakalpojumu sniegšanas veiktspēja ceturtās atlases kārtas ietvaros atbalstītajā profesionālās izglītības infrastruktūrā – 775 izglītojamie.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plānotais kopējais attiecināmais finansējums ir 54 561 705 euro (tai skaitā elastības finansējuma apjoms 7 528 444 euro), tai skaitā Eiropas Reģionālās attīstības fonda finansējums 46 377 448 euro (tai skaitā elastības finansējuma apjoms 6 399 178 euro un tai skaitā 5 805 785 euro valsts budžeta finansējums, kas pārsniedz pasākumam pieejamo Eiropas Reģionālās attīstības fonda finansējumu) un valsts budžeta līdzfinansējums 8 184 257 euro (tai skaitā elastības finansējuma apjoms 1 129 266 euro un cits publiskais finansējums 1 024 550 euro),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8.punktā un visā noteikumu projektā (citos ar finansējumu saistītajos punktos) vārdus "cits publiskais finansējums" pie informācijas par valsts budžeta līdzfinansējumu, ņemot vērā, ka Kohēzijas politikas fondu vadības informācijas sistēmā valsts budžeta līdzfinansējums tiks norādīts kā vienota summa.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54 561 705 euro (tai skaitā elastības finansējuma apjoms 7 528 444 euro), tai skaitā Eiropas Reģionālās attīstības fonda finansējums 46 377 448 euro (tai skaitā elastības finansējuma apjoms 6 399 178 euro un tai skaitā 5 805 785 euro valsts budžeta finansējums, kas pārsniedz pasākumam pieejamo Eiropas Reģionālās attīstības fonda finansējumu) un valsts budžeta līdzfinansējums 8 184 257 euro (tai skaitā elastības finansējuma apjoms 1 129 266 euro),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Atbilstoši precizēts MKN projekta 8. un 10.punkts un anotācijas sadaļa 1.3. Pašreizējā situācija, problēmas un risinājumi un 3. Tiesību akta projekta ietekme uz valsts budžetu un pašvaldību budžetiem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plānotais kopējais attiecināmais finansējums ir 47 731 370 euro (tai skaitā elastības finansējuma apjoms 7 528 444 euro), tai skaitā Eiropas Reģionālās attīstības fonda finansējums 40 571 663 euro (tai skaitā elastības finansējuma apjoms 6 399 178 euro) un valsts budžeta līdzfinansējums – 7 159 707 euro (tai skaitā elastības finansējuma apjoms 1 129 266 euro),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 piešķirto valsts budžeta finansējumu šādiem augstas gatavības projektiem (AGP), norādot to kā papildus finansējuma avotu, lai nodrošinātu pozitīvu ietekmi uz Eiropas Savienības fondu Eiropas Komisijai deklarējamo izdevumu kopējo apjomu (N+3): 1) Rīgas Mākslas un mediju tehnikums, 2) Rīgas Tūrisma un radošo industriju tehnikums, 3) Kuldīgas Tehnoloģiju un tūrisma tehnikums, 4) Rīgas Stila un modes tehnikums, 5) Nacionālo Mākslu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iekļaušanas, lūdzam pārliecināties, ka AGP izdevumi atbilst Eiropas Savienības struktūrfondu un Kohēzijas fonda 2014.-2020.gada plānošanas perioda 8.1.3.specifiskā atbalsta mērķa un Eiropas Savienības fondu 2021.-2027.gada plānošanas perioda 4.2.1.6.pasākuma atbalstāmajām darbībām un izmaksām, un lūdzam papildināt arī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būtu nepieciešama detalizēta informācija par piešķiršanu pamatojošajiem Ministru kabineta lēmumiem un faktiski iztērētajām summām un/vai summām, ko plānots no piešķirtā tērēt 2024./2025.gadā.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Atbilstoši precizēts MKN projekta 8. un 10.punkts un anotācijas sadaļa 1.3. Pašreizējā situācija, problēmas un risinājumi un 3. Tiesību akta projekta ietekme uz valsts budžetu un pašvaldību budžetiem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Gadījumā, ja kāds no pirmās un ceturtās atlases kārtas projektiem noslēdzas ar finanšu ietaupījumu, vai kādā no pirmās un ceturtās atlases kārtas projektiem rodas objektīvs pamatojums papildu finansējuma nepieciešamībai, pirmajai un ceturtajai atlases kārtai pieejamais kopējais attiecināmais finansējums saskaņojot ar sadarbības iestādi un atbildīgo iestādi, var tikt pārdalīts starp projektiem ceturtās kārtas ietvaros un arī starp pirmo un ceturto atlases 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11.punktu ar vārdiem “pasākumam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Gadījumā, ja kāds no pirmās un ceturtās atlases kārtas projektiem noslēdzas ar finanšu ietaupījumu, vai kādā no pirmās un ceturtās atlases kārtas projektiem rodas objektīvs pamatojums papildu finansējuma nepieciešamībai, pasākumam pieejamā finansējuma ietvaros pirmajai un ceturtajai atlases kārtai pieejamais kopējais attiecināmais finansējums saskaņojot ar sadarbības iestādi un atbildīgo iestādi, var tikt pārdalīts starp projektiem ceturtās kārtas ietvaros un arī starp pirmo un ceturto atlases 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Gadījumā, ja kāds no pirmās un ceturtās atlases kārtas projektiem noslēdzas ar finanšu ietaupījumu, vai kādā no pirmās un ceturtās atlases kārtas projektiem rodas objektīvs pamatojums papildu finansējuma nepieciešamībai, pasākumam pieejamā finansējuma ietvaros pirmajai un ceturtajai atlases kārtai pieejamais kopējais attiecināmais finansējums saskaņojot ar sadarbības iestādi un atbildīgo iestādi, var tikt pārdalīts starp projektiem ceturtās kārtas ietvaros un arī starp pirmo un ceturto atlases kārtu.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Ugunsdzēsības un civilās aizsardzības koledža;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koledžas nosaukumu uz </w:t>
            </w:r>
            <w:r w:rsidR="00000000" w:rsidRPr="00000000" w:rsidDel="00000000">
              <w:rPr>
                <w:b w:val="1"/>
                <w:u w:val="single"/>
                <w:rtl w:val="0"/>
              </w:rPr>
              <w:t xml:space="preserve">Ugunsdrošības</w:t>
            </w:r>
            <w:r w:rsidR="00000000" w:rsidRPr="00000000" w:rsidDel="00000000">
              <w:rPr>
                <w:rtl w:val="0"/>
              </w:rPr>
              <w:t xml:space="preserve"> un civilās aizsardzības koledža.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Ugunsdrošības un civilās aizsardzības koledža;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profesionālās izglītības iestādes infrastruktūras, mācību un koplietošanas vides uzlabošana, tai skaitā, vides piekļūstamības un informācijas pieejamības nodrošināšana šo noteikumu 14., 17. un 19. punktā minētajiem sadarbības partneriem un 15. punktā minētajiem finansējuma saņēmējiem;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šajā un 28.7., 28.7.2. un 45. punktos) aizstāt vārdu "pieejamība" ar vārdu "piekļūstamība", nodrošinot vienotu terminoloģiju. Vēršam uzmanību, ka, atbilstoši Latvijas Zinātņu akadēmijas Terminoloģijas komisijas lēmumam, angļu valodas termins “accessibility” latviski tiek tulkots kā “piekļūstamība” (šāds termins lietots arī Preču un pakalpojumu piekļūstamības likumā, apzīmējot piekļūstamības prasības videi, informācijai, infrastruktūrai, pakalpojumiem u.c., lai tie būtu ērti lietojami ikvienam, tai skaitā cilvēkiem ar dažāda veida funkcionēšanas ierobežojumiem, t.sk. redzes, dzirdes, kustību vai garīga rakstura traucējumiem). Pamatojums: LZA Terminoloģijas komisijas 2017.gada lēmums https://termini.gov.lv/kolekcijas/97/skirklis/454405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pieejamība (angl. availability) nozīmē vides/objekta/pakalpojuma pieejamību vai esamību kopumā. Savukārt piekļūstamība (angl. accessibility) nozīmē, ka konkrētajai videi/objektam/pakalpojumam ir iespēja fiziski piekļūt, kā arī to var lietot, izmantojot vairākus sensoros (redze, dzirde, tauste) kanālus. Tādējādi pieejamība var izslēgt piekļūstamību, savukārt piekļūstamība ietver arī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informācijas piekļūstamības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profesionālās izglītības iestādes infrastruktūras, mācību un koplietošanas vides uzlabošana, tai skaitā, vides un informācijas piekļūstamības nodrošināšana šo noteikumu 14. un 17. punktā minētajiem sadarbības partneriem un 15. un 18. punktā minētajiem finansējuma saņēmējiem;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nozarēm aktuālo prasmju apguvei nepieciešamā mācību aprīkojuma un iekārtu, un transportlīdzekļu kā uzskates un tehnisko līdzekļu un simulatoru u.c. iegādes izmaksas šo noteikumu 15., 16. un 18. punktā minētajiem finansējuma saņēmējiem un 14., 17. un 19.punktā minētajiem sadarbības partneriem šo noteikumu 26.1. apakšpunktā minēto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piegādes, pielāgošanas un uzstādīšanas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nozarēm aktuālo prasmju apguvei nepieciešamā mācību aprīkojuma un iekārtu, un transportlīdzekļu kā uzskates un tehnisko līdzekļu un simulatoru u.c. iegādes, piegādes, pielāgošanas un uzstādīšanas izmaksas šo noteikumu 15., 16. un 18.punktā minētajiem finansējuma saņēmējiem un 14., 17. un 19. punktā minētajiem sadarbības partneriem šo noteikumu 26.1 apakšpunktā minēto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nozarēm aktuālo prasmju apguvei nepieciešamā mācību aprīkojuma un iekārtu, un transportlīdzekļu kā uzskates un tehnisko līdzekļu un simulatoru u.c. iegādes, piegādes, uzstādīšanas un personāla instruktāžas izmaksas šo noteikumu 15. un 18. punktā minētajiem finansējuma saņēmējiem un 14. un 17. punktā minētajiem sadarbības partneriem šo noteikumu 26.1. apakšpunktā minēto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28.7.1. mācību telpu (klašu, kabinetu, auditoriju, laboratoriju), tai skaitā dabaszinātņu (ķīmijas, bioloģijas, fizikas) un matemātikas kabinetu (tai skaitā praktisko darbu telpu), speciālo priekšmetu klašu (mūzika, māksla) izveides un aprīkošanas,) pārbūves, atjaunošanas un jaunu telpu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nepieciešama detalizēta uzskaite par konkrētu priekšmetu kabinetiem un klasēm, ņemot vēra, ka 28.7.1. apakšpunkta pirmā daļa ietver visas mācību telpas (klases, kabinetu, auditorijas, laboratorijas) neatkarīgi no priekšmeta.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uzskaite par konkrētu priekšmetu kabinetiem un klasēm svītrota noteikumu projektā, ņemot vēra, ka 28.7.1. apakšpunkta pirmā daļa ietver visas mācību telpas (klases, kabinetu, auditorijas, laboratorijas) neatkarīgi no priekšmeta,  bet iekļauta anotācijas 1.3. sadaļas apakšsadaļā "Risinājuma apraksts" 17.lpp.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28.7.1. mācību telpu, piemēram, klašu, kabinetu, auditoriju, laboratoriju, u.c. izveides un aprīkošanas, pārbūves, atjaunošanas un jaunu telpu izveides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28.7.4. iekšējo inženiertīklu (piemēram, iekšējo elektrotīklu, apkures sistēmu, vēdināšanas un gaisa kondicionēšanas sistēmu, ūdensvada tīklu, kanalizācijas tīklu, automātisko ugunsgrēka atklāšanas, trauksmes signalizācijas un automātiskās balss ugunsgrēka izziņošanas sistēmu) izbūves un pārbūves izmaksas, u.c. ar gaisa kvalitātes uzlabošanu saistītu darbību izmaksas, kuras plāno kā papildinošas šo noteikumu 28.7.1., 28.7.2., 28.7.3. apakšpunktā minētajām izmaksām, ja tās tiešā veidā attiecas uz profesionālās izglītības iestādes mācību vai koplietošanas infrastruktūras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nepieciešams iekavās uzskaitīt inženiertīklu veidu.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28.7.4.apakšpunktā svītrots inže</w:t>
            </w:r>
            <w:r w:rsidR="00000000" w:rsidRPr="00000000" w:rsidDel="00000000">
              <w:rPr>
                <w:rtl w:val="0"/>
              </w:rPr>
              <w:t xml:space="preserve">niertīklu</w:t>
            </w:r>
            <w:r w:rsidR="00000000" w:rsidRPr="00000000" w:rsidDel="00000000">
              <w:rPr>
                <w:rtl w:val="0"/>
              </w:rPr>
              <w:t xml:space="preserve"> veidu uzskaitījums. Tas </w:t>
            </w:r>
            <w:r w:rsidR="00000000" w:rsidRPr="00000000" w:rsidDel="00000000">
              <w:rPr>
                <w:rtl w:val="0"/>
              </w:rPr>
              <w:t xml:space="preserve">norādīts</w:t>
            </w:r>
            <w:r w:rsidR="00000000" w:rsidRPr="00000000" w:rsidDel="00000000">
              <w:rPr>
                <w:rtl w:val="0"/>
              </w:rPr>
              <w:t xml:space="preserve"> </w:t>
            </w:r>
            <w:r w:rsidR="00000000" w:rsidRPr="00000000" w:rsidDel="00000000">
              <w:rPr>
                <w:rtl w:val="0"/>
              </w:rPr>
              <w:t xml:space="preserve">bet iekļauta anotācijas 1.3. sadaļas apakšsadaļā "Risinājuma apraksts" 17.lpp.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projekta vadības un īstenošanas personāla (turpmāk – projekta personāls) atlīdzības izmaksas, izņemot virsstundas, noteikumu 13., 15., 16. un 18. punktā minētajiem finansējuma saņēmējiem un 17.punktā minētajiem sadarbības partneriem šo noteikumu 26.5.apakšpunktā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MK noteikumu projekta 14.punktā minētajiem sadarbības partneriem pirmajā atlases kārtā nav paredzētas projekta vadības un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14.punktā minētajiem sadarbības partneriem pirmajā atlases kārtā nav paredzētas projekta vadības un īstenošanas personāla izmaksas, jo projekta vadību un īstenošanu nodrošina MK noteikumu 13. punktā minētais sadarbības partneris. Detalizētāks apraksts sniegts anotācijās 1.3. Pašreizējā situācija sadaļas Tiešās attiecināmās izmaksas 5. punktā 18.lpp.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projekta vadības un īstenošanas personāla (turpmāk – projekta personāls) izmaksas, izņemot virsstundas, noteikumu 13., 15. un 16. punktā minētajiem finansējuma saņēmējiem un 17. un 19. punktā minētajiem sadarbības partneriem šo noteikumu 26.5.apakšpunktā minētās atbalstāmās darbības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projekta vadības un īstenošanas personāla (turpmāk – projekta personāls) atlīdzības izmaksas, izņemot virsstundas, noteikumu 13., 15., 16. un 18. punktā minētajiem finansējuma saņēmējiem un 17.punktā minētajiem sadarbības partneriem šo noteikumu 26.5.apakšpunktā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Regulā Nr. 2021/1060 lietoto terminoloģiju, lūdzam aizstāt vārdus "personāla atlīdzības izmaksām" ar vārdiem "personāla izmaksas". Lūdzam piemērot visur, kur tas ir attiecināms, t.sk.,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Regulā Nr. 2021/1060 lietoto terminoloģiju, vārdi "personāla atlīdzības izmaksas" aizstāti ar vārdiem "personāla izmaksas", piemērojot to visur, kur tas ir attiecināms, t.sk.,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projekta vadības un īstenošanas personāla (turpmāk – projekta personāls) izmaksas, izņemot virsstundas, noteikumu 13., 15. un 16. punktā minētajiem finansējuma saņēmējiem un 17. un 19. punktā minētajiem sadarbības partneriem šo noteikumu 26.5.apakšpunktā minētās atbalstāmās darbības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pirmajā un ceturtajā atlases kārtā piemērojot izmaksu vienoto likmi 17 procentu apmērā no projekta tiešajām attiecināmajām izmaksām, bet neieskaitot virssaistību finansējumu un neieskaitot tiešās projekta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30.1. un 30.2.apakšpunktā vārdus “virssaistību finansējums” ar noteikumu projekta 8.punktā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pirmajā un ceturtajā atlases kārtā piemērojot izmaksu vienoto likmi 17 procentu apmērā no projekta tiešajām attiecināmajām izmaksām, bet neieskaitot tiešās projekta personāla izmaksas un valsts budžeta finansējumu, kas pārsniedz pasākumam pieejamo Eiropas Reģionālās attīstības fonda finansējumu un tam atbilstošo valsts budžeta līdzfinansējumu 15 procentu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īstenošanas gaitā radušās sadārdzinājuma izmaksas pirmās un trešās atlases kārtas  ietvaros sadarbības partneris, otrās un ceturtās atlases kārtas ietvaros – finansējuma saņēmējs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kādiem līdzekļiem finansējuma saņēmējs un sadarbības partneris plāno segt noteikumu projekta 34.punktā minētās sadārdzinājuma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īstenošanas gaitā radušās sadārdzinājuma izmaksas pirmās un trešās atlases kārtas  ietvaros sadarbības partneris, otrās un ceturtās atlases kārtas ietvaros – finansējuma saņēmējs sedz no saviem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Pasākuma ietvaros izmaksas ir attiecināmas, ja tās atbilst šajos noteikumos minētajām atbalstāmo darbību izmaksu pozīcijām, ir uzsāktas balstoties uz nozares ministrijā pieņemtiem lēmumiem un ir veiktas pēc 2021. gada 1. janvāra.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38.punktu vai anotāciju ar informāciju, ka 4.2.1.6.pasākuma 1.-3.kārtas ietvaros nevar tikt attecinātas darbības, kas pabeigtas pirms projekta iesnieguma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nozaru ministriju lēmumu nepieciešamība attiecināma arī uz 4.atlases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 "Risinājuma apraksts" 21.lpp., nosakot, ka pirmās, otrās un trešās atlases kārtas ietvaros nevar tikt attecinātas darbības, kas pabeigtas pirms projekta iesnieguma iesniegšanas sadarbības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Pasākuma ietvaros izmaksas ir attiecināmas, ja tās atbilst šajos noteikumos minētajām atbalstāmo darbību izmaksu pozīcijām, ir uzsāktas balstoties uz nozares ministrijā pieņemtiem lēmumiem un ir veiktas pēc 2021. gada 1. janvāra.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saskaņā ar atbildīgās iestādes izstrādāto metodiku reizi gadā projekta īstenošanas laikā un projekta infrastruktūras amortizācijas periodā pārbauda veikto investīciju atbilstību šo noteikumu 50. un 51.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ikgadējo pārskatu par papildinošu saimniecisku darbību uzraudzību ar finansējuma saņēmēja paškontroles principu. Papildus lūdzam attiecīgi precizēt arī anotācijā iekļauto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saskaņā ar atbildīgās iestādes izstrādāto metodiku nodrošina veikto investīciju atbilstības uzraudzību visā projekta dzīves ciklā atbilstoši šo noteikumu 50. un 51. punkta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51.punktā minētais 20 procentu ierobežojums no infrastruktūras gada jaudas platības, laika vai finanšu izteiksmē vai ka veiktās investīcijas tiek izmantotas citai saimnieciskai darbībai, kas nav uzskatāma par papildinošu saimniecisku darbību, tas saskaņā ar civiltiesisko līgumu vai vienošanos par projekta īstenošanu noteiktajā termiņā iesniedz sadarbības iestādē ziņojumu par konstatēto šo noteikumu 50. un 51. punktā minēto nosacījumu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MKN projekta 51. punkta redakcija un atbilstoši precizēta anotācijā iekļautā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saskaņā ar atbildīgās iestādes izstrādāto papildinošas saimnieciskās darbības uzraudzības metodiku nodrošina veikto investīciju atbilstības uzraudzību visā projekta dzīves ciklā atbilstoši šo noteikumu 50. un 51. punkta nosacījumiem.  Pirmās un trešās atlases kārtas ietvaros sadarbības partneris, otrās un ceturtās atlases kārtas ietvaros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pirmās un trešās atlases kārtas ietvaros sadarbības partneris, otrās un ceturtās atlases kārtas ietvaros finansējuma saņēmējs konstatē, ka ir pārsniegts šo noteikumu 51.punktā minētais 20 procentu ierobežojums no infrastruktūras gada jaudas platības, laika vai finanšu izteiksmē vai ka veiktās investīcijas tiek izmantotas citai saimnieciskai darbībai, kas nav uzskatāma par papildinošu saimniecisku darbību, tas saskaņā ar civiltiesisko līgumu vai vienošanos par projekta īstenošanu noteiktajā termiņā iesniedz sadarbības iestādē ziņojumu par konstatēto šo noteikumu 50. un 51. punktā minēto nosacījumu pārkāpumu.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Finansējuma saņēmējs sadarbībā ar sadarbības partneri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54.2., 54.3., 54.4.punktu, ka šie nosacījumi attiecas uz 4.2.1.6.pasākuma 1.-3.atlases kārtu. Vienlaikus lūdzam papildināt anotācijas 8.sadaļu ar informāciju, ka 4.2.1.6.pasākuma 4.atlases kārtas projektu atbilstība 2021.-2027.gada plānošanas perioda horizontālajiem principiem ir izvērtēta pirms projektu iesniegumu iesniegšanas, un uz tiem neattieksies specifiskie nosacījumi par horizontāla principa "Vienlīdzība, iekļaušana, nediskriminācija un pamattiesību ievērošana" rādītāju noteikšanu un datu vākšanu, ņemot vēra, ka projekti tiek posmoti atbilstoši Regulas Nr. 2021/1060 118a.pantam.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54.2., 54.3., 54.4.punkti, norādot, ka šie nosacījumi attiecas uz 4.2.1.6.pasākuma pirmo, otro un trešo atlases kārtu. Vienlaikus papildināta anotācijas 8.2.sadaļa ar informāciju, ka 4.2.1.6.pasākuma 4.atlases kārtas projektu atbilstība 2021.-2027.gada plānošanas perioda horizontālajiem principiem tiks izvērtēta pirms projektu iesniegumu iesniegšanas, un uz tiem neattieksies specifiskie nosacījumi par horizontāla principa "Vienlīdzība, iekļaušana, nediskriminācija un pamattiesību ievērošana" rādītāju noteikšanu un datu vākšanu, ņemot vēra, ka projekti tiek posmoti atbilstoši Kopīgo noteikumu regulas Nr. 2021/1060 118a.pantam.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Finansējuma saņēmējs sadarbībā ar sadarbības partneri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 nodrošina komunikācijas un vizuālās identitātes prasību nodrošināšanas pasākumus  saskaņā ar Kopīgo noteikumu regulas 2021/1060 47. pantu un 50. pantu un normatīvajiem aktiem par kārtību, kādā Eiropas Savienības fondu vadībā iesaistītās institūcijas nodrošina šo fondu ieviešanu 2021. – 2027. gada plānošanas periodā, kā arī Eiropas Savienības kohēzijas politikas programmas 2021. – 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54.5.apakšpunktu ar atsauci uz noteikumu projekta 26.4.apakšpunktā minēto atbalstāmo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53.5. nodrošina komunikācijas un vizuālās identitātes prasību nodrošināšanas pasākumus šo noteikumu 26.4. apakšpunktā minēto atbalstāmo darbību īstenošanai saskaņā ar Kopīgo noteikumu regulas Nr.2021/1060 47. pantu un 50. pantu un normatīvajiem aktiem par kārtību, kādā Eiropas Savienības fondu vadībā iesaistītās institūcijas nodrošina šo fondu ieviešanu 2021. – 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 nodrošina komunikācijas un vizuālās identitātes prasību nodrošināšanas pasākumus  saskaņā ar Kopīgo noteikumu regulas 2021/1060 47. pantu un 50. pantu un normatīvajiem aktiem par kārtību, kādā Eiropas Savienības fondu vadībā iesaistītās institūcijas nodrošina šo fondu ieviešanu 2021. – 2027. gada plānošanas periodā, kā arī Eiropas Savienības kohēzijas politikas programmas 2021. – 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54.5. apakšpunktā norādīta atsauce uz nesaistošiem dokumentiem (vadlīnijām). Ņemot vērā minēto, lūdzam visā noteikumu projektā svītrot atsauces uz nesaistošiem dokumentiem (vadlīnijām) un minēto informāciju lūdzam norādīt noteikumu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prasību nodrošināšanas pasākumus  saskaņā ar Kopīgo noteikumu regulas 2021/1060 47. pantu un 50. pantu un normatīvajiem aktiem par kārtību, kādā Eiropas Savienības fondu vadībā iesaistītās institūcijas nodrošina šo fondu ieviešanu 2021. – 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53.5. nodrošina komunikācijas un vizuālās identitātes prasību nodrošināšanas pasākumus šo noteikumu 26.4. apakšpunktā minēto atbalstāmo darbību īstenošanai saskaņā ar Kopīgo noteikumu regulas Nr.2021/1060 47. pantu un 50. pantu un normatīvajiem aktiem par kārtību, kādā Eiropas Savienības fondu vadībā iesaistītās institūcijas nodrošina šo fondu ieviešanu 2021. – 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saskaņā ar Profesionālās izglītības likuma 12.panta devīto daļu kultūras nozares un radošo industriju jomas nozares ekspertu padomes funkcijas veic Kultūrizglītības padome. Skaidrojums ir nepieciešams par atzinuma saņemšanu otrās atlases kārtas ietvaros  diviem projektu iesniegumu iesniedzējiem, kas pēc projekta iesnieguma apstiprināšanas ir finansējuma saņēmēji – MIKC „Latgales Mūzikas un mākslas vidusskola” un MIKC „Nacionālā Mākslu vidusskola”. Noteikumu projekta 41.punktā ir paredzēts, ka "Šo noteikumu 28.5. apakšpunktā minētās izmaksas var tikt attiecinātas, ja par to iegādes nepieciešamību projekta īstenošanas laikā pirms publiskā iepirkuma procedūras veikšanas pirmās atlases kārtas ietvaros sadarbības partneris un otrās un ceturtās atlases kārtas ietvaros finansējuma saņēmējs ir saņēmis Nozaru ekspertu padomes atzinumu, bet trešās atlases kārtas ietvaros sadarbības partneris saņēmis Iekšlietu nozares attīstības padomes atzinumu (ja attiecināms)." Anotācijā ir sniegta informācija, ka "Noteikumu projekta 28.5. apakšpunktā minētās izmaksas ir attiecināmas, ja par to iegādes nepieciešamību pirmās atlases kārtas ietvaros sadarbības partneris, otrās un ceturtās atlases kārtas ietvaros finansējuma saņēmējs ir saņēmis Nozaru ekspertu padomes (turpmāk – NEP) atzinumu."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12.panta devīto daļu kultūras nozares un radošo industriju jomas nozares ekspertu padomes funkcijas veic Kultūrizglītības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saskaņā ar Profesionālās izglītības likuma 12.panta devīto daļu kultūras nozares un radošo industriju jomas nozares ekspertu padomes funkcijas veic Kultūrizglītības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"Mehānika un metālapstrāde”, „Kokapstrādes tehnoloģijas un izstrādājumu izgatavošana”, „Enerģētika un elektrotehnika”, „Vide un ūdenssaimniecība”, „Autotransports” -  saskaņā ar Ekonomikas ministrijas izstrādātajām darba tirgus prognozēm darbaspēka iztrūkums būs novērojams arī augstākās kvalifikācijas profesijās. Lai nodrošinātu lielāku skolēnu piesaisti iztrūkuma profesijās augstākā līmenī un domātu par pēctecību, tādējādi mudinot viņus pēc profesionālās izglītības iegūšanas iestāties studēt arī augstākajā izglītībā, aicinām papildināt anotāciju, iekļaujot tādas grupas kā "Datorika", "Inžinierzinātnes un tehnoloģijas" un "Veselības aprūpe".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1.3. Pašreizējā situācija, problēmas un risinājumi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"Būtiskāku izmaiņu panākšana STEM jomas profesionālās izglītības audzēkņu skaita kāpināšanai ir saistāma gan ar atbilstošas mācību vides attīstību STEM jomas profesionālās izglītības programmu īstenošanai, gan ar profesionālās izglītības pieejamības risinājumiem, kuri, piemēram, ietver arī pietiekamu nodrošinājumu ar dienesta viesnīcām." - Lūgums anotācijā pēc iespējas papildināt ar projekta indikatīvo ietekmi uz STEM jomas profesionālās izglītības audzēkņu skaitu profesionālās izglītības iestādēs.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1.3. Pašreizējā situācija, problēmas un risinājumi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savā padotībā esošo profesionālās izglītības iestāžu veiktspējas novērtēšanai un attīstības vajadzību identificēšanai ir izstrādājusi kartējumu, kurā ir ietverts gan profesionālās izglītības programmu piedāvājums un profesionālās izglītības pieejamība izglītības iestāžu līmenī, gan šī piedāvājuma ietekme uz konkrētā reģiona darbaspēka attīstību." - aicinām pievienot pie atsauču saraksta arī atsauci uz IZM izstrādāto kartējumu, ja tāds ir pieejams.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1.3. Pašreizējā situācija, problēmas un risinājumi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"Pašreizējā situācija, problēmas un risinājumi" (13.lpp pirmā rindkopa) norādīto Kuldīgas Tehnoloģiju un tūrisma tehnikuma īstenotā projekta "Kuldīgas Tehnoloģiju un tūrisma tehnikuma modernizēšana specifiskā atbalsta mērķa 8.1.3. „Palielināt modernizēto profesionālās izglītības iestāžu skaitu” ietvaros" īstenošanai plānoto finansējumu sadalījumā pa finansējuma avotiem. Vēršam uzmanību, ka šobrīd kopējais projekta īstenošanai plānotais finansējums veido 2 154 333 euro nevis minētos 2 169 390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anotācijas  1.3. Pašreizējā situācija, problēmas un risinājumi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investīciju optimizēšanas risinājumu - augstas gatavības projekta darbību un izmaksu iekļaušanu 4.2.1.6. pasākuma investīcijās.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sabalansētu perioda izdevumu plūsmu un sasniegtu EK noteikto pieprasāmo izdevumu minimālo apmēru kumulatīvi 2025. gadā un turpmāk ikgadēji līdz 2030. gadam, atbildīgās ministrijas veica investīciju portfeļa pārskatīšanu pēc būtības un 2024. gada 5. martā ES fondu tematiskajā komitejas sanāksmē finanšu ministra vadībā ministri konceptuāli vienojās par tūlītējiem investīciju optimizēšanas risinājumiem naudas plūsmas paātrināšanai. Kultūras ministrija kā investīciju optimizēšanas risinājumu virza par valsts budžeta līdzekļiem līdzfinansētā Nacionālās Mākslu vidusskolas struktūrvienības Jaņa Rozentāla Mākslas skolas ēkas Slokas ielā 52a, Rīgā, pārbūves projekta izmaksu 1,1 mlj euro apmērā iekļaušanu 4.2.1.6.pasākumā.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ir noslēdzies būvdarbu iepirkums un uzsākta Slokas ielas 52a ēkas pārbūve. 22.09.2023. noslēgts līgums ar SIA “Reaton” nr. 5-1-N/3 par būvdarbu veikšanu, norit līguma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Pārbūves darbi atbilst 4.2.1.6. pasākuma MK noteikumos noteiktajām atbalstāmajām darbībām - profesionālās izglītības iestādes infrastruktūras, mācību un koplietošanas vides uzlabošana, tai skaitā, vides piekļūstamības un informācijas pieejamības nodrošināšana. Pārbūves ietvaros tiek veikta mācību telpu (klašu, kabinetu, auditoriju, laboratoriju), tai skaitā dabaszinātņu (ķīmijas, bioloģijas, fizikas) un matemātikas kabinetu (tai skaitā praktisko darbu telpu), speciālo priekšmetu klašu (māksla, dizains) pārbūve; mācību telpu apgaismojuma modernizēšana; mācību telpu pieejamības nodrošināšana; sporta zāles pārbūve; bibliotēkas telpas un arhīva izbūve; teritorijas labiekārtošana; iekšējo inženiertīklu (iekšējo elektrotīklu, apkures sistēmu, vēdināšanas un gaisa kondicionēšanas sistēmu, ūdensvada tīklu, kanalizācijas tīklu, automātisko ugunsgrēka atklāšanas, trauksmes signalizācijas un automātiskās balss ugunsgrēka izziņošanas sistēmu) izbūve; skolas telpu pieejamības personām ar īpašām vajadzībām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papildinājums anotācijas 1.3. apakšsadaļā "Risinājuma apraksts" 10.lpp. Atbilstoši precizēti noteikumu projekta 8. un 10.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apakšsadaļā "Risinājuma apraksts" ietverto atsauci uz Komisijas 2014. gada 3. marta Deleģēto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ņemot vērā, ka tā attiecas uz Eiropas Savienības struktūrfondu un Kohēzijas fonda 2014.-2020.gada plānošanas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lūdzam konkretizēt, ar kādu mērķi minēta tieši attiecīgā regula.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pamatojums anotācijas 1.3. apakšsadaļā "Risinājuma apraksts" 27.lpp.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anotācijas 1.3.sadaļā neizdalīt projekta vadības/ īstenošanas personālu, bet uzskaitīt vienkopus. Jo ar projekta vadības personālu saprot projekta vadītāju, vietnieku, finansistu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apraksts sniegts anotācijas 1.3. apakšsadaļas "Risinājuma apraksts"- Tiešās attiecināmās izmaksas 5. punktā 18.-20.lpp.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precizēt šo rindkopu "Vienotās izmaksu likmes apmērs balstīts uz aprēķinu, ka Valsts izglītības attīstības aģentūras (VIAA) struktūrvienība pirmās atlases kārtas projekta ietvaros noteikumu projekta 14.punktā minēto divdesmit sadarbības partneru un ceturtās atlases kārtas projektu ietvaros noteikumu projekta 19. punktā minēto trīs sadarbības partneru plānoto darbību īstenošanai plāno piesaistīt projekta personālu vidēji 15 pilnām slodzēm, tai skaitā:", jo esošā redakcija mulsina. Noteikumu projektā minēts, ka 1.kārtā sadarbības partneru personāla izmaksas nav attiecināmas, savukārt 4.kārtā no noteikumu projekta izriet, ka ir attiecināmas sadarbības partnera jeb VIAA personāla izmaksas un trīs minētie ir finansējuma saņēmēji, nevis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apraksts sniegts anotācijās 1.3. Pašreizējā situācija sadaļas Tiešās attiecināmās izmaksas 5.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noteikumu projektam ne visiem finansējuma saņēmējiem/sadarbības partneriem paredzētas personāla izmaksas, lūdzam anotācijas 1.3.sadaļā skaidri noteikt, ka papildus noteiktajai vienotajai likmei, citas personāla izmaksas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pārskatīt MK noteikumu projekta redakcijas, jo pašlaik izriet, ka 4.kārtā paredzēts segt tikai sadarbības partnera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apraksts sniegts anotācijās 1.3. Pašreizējā situācija sadaļas Tiešās attiecināmās izmaksas 5. punktā 20.- 21.lpp.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anotācijā norādi uz 2006. gada 30. novembra Ministru kabineta noteikumiem Nr. 979 “Ugunsdrošības un civilās aizsardzības koledžas nolikums”, jo tiesību akts ir zaudējis spēku (no 01.01.2024.).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februārī ir pieņemti Ministru kabineta noteikumi Nr.82 "Ugunsdrošības un civilās aizsardzības koledžas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anotācijas 1.3. apakšsadaļā "Risinājuma apraksts" svītrota norāde uz 2006. gada 30. novembra Ministru kabineta noteikumiem Nr. 979 “Ugunsdrošības un civilās aizsardzības koledžas nolikums”, jo tiesību akts ir zaudējis spēku (no 01.01.2024.).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 noteikta par NVA sadarbības partneri, jo saskaņā ar 2024. gada 6. februāra Ministru kabineta noteikumu Nr.82 "Ugunsdrošības un civilās aizsardzības koledžas nolikums" 8. punktā noteikto, koledža īsteno licencētas un akreditētas īsā cikla profesionālās augstākās izglītības, kā arī licencētas profesionālās tālākizglītības un profesionālās pilnveides izglītības programmas personu un īpašuma aizsardzības, civilās un militārās aizsardzības tematiskajās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visā tekstā aizstāt vārdus - IeM padotības profesionālās izglītības iestādes ar vārdiem - IeM sistēmas profesionālās izglītības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anotācijas 2.1. sadaļas apakšsadaļā "Fiziskās personas" norādi uz atbildīgo iestādi un finansējuma saņēmējiem. Vienlaikus aicinām papildināt anotācijas 2.1. sadaļas apakšsadaļu "Juridiskās personas" ar norādi uz Izglītības un zinātnes ministriju, kā arī uzskaitīt finansējuma saņēmējus, savukārt atbilstošajā apakšsadaļā "Ietekmes apraksts" norādīt, ka Izglītības un zinātnes ministrija pildīs atbildīgās iestādes funkcijas, savukārt uzskaitītie attiecīgie finansējuma saņēmēji pildīs finansējuma saņēmēju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Precizējumus skat. anotācijas  sadaļā 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investīciju atbilstību Apvienoto Nāciju organizācijas Konvencijas par personu ar invaliditāti tiesībām prasībām, tostarp 4. un 5. vispārīgajam komentāram un Konvencijas par personu ar invaliditāti tiesībām komitejas noslēguma apsvērumiem vispārīgajiem principiem, cilvēktiesību prasībām, proti, Pamattiesību hartai, Eiropas sociālo tiesību pīlāram un Stratēģijai par personu ar invaliditāti tiesībām 2021.–2030. gadam, t.sk. ka kopumā veicot investīcijas nevar tikt veicināta nelabvēlīgākā situācijā esošu grupu segregācija/ izolācija.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papildinājums sadaļā 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dzimumu līdztiesību aprakstu atbilstoši LM/TM vadlīnijām [1], iekļaujot arī specifiskās horizontālā principa "Vienlīdzība, iekļaušana, nediskriminācija un pamattiesību ievērošana" darbības, atbilstoši 29.02.2024 AK saskaņotajai vērtēšanas kritēriju piemērošanas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4.1.2.4. pasākuma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izstrādājot iepirkumu nolikumus, kā arī nodrošinot pakalpojumus, tiks ņemtas vērā sieviešu un vīriešu vajadzības, situācija un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papildinājums sadaļā 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sadaļā atbilstoši vadlīnijām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konkrētu HP rādītāju uzskaitījumu vai atsauci uz MKN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vērtēšanas kritērija veidu (specifiskais atbilstības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tiks piemērota ierobežota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“Horizontālais princips “Vienlīdzība, iekļaušana, nediskriminācija un pamattiesību ievērošana” vadlīnijas īstenošanai un uzraudzībai (2021-2027) papildināta informācija 8.2.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konkrētu HP rādītāju uzskaitījumu vai atsauci uz MKN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vērtēšanas kritērija veidu (specifiskais atbilstības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tiks piemērota ierobežota projektu iesniegumu atlase.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pielikumā labot projekta nosaukumu atbilstoši noteikumu projektā noteiktajam (2. punkts), proti, ka Iekšlietu ministrijas koledžas ir profesionālās izglītības iestādes (vai arī - Iekšlietu ministrijas sistēmas izglītības iestādes - koledžas).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kā nozaru ekspertu padomju koordinators norāda, ka aktuālā informācija no profesionālās izglītības iestādēm liecina par būtisku nepieciešamību nodrošināt plašāku un mērķtiecīgāku investīciju pieejamību. Apzinoties daudzveidīgās vajadzības, vēršam uzmanību, ka atsevišķās izglītības iestādēs esošā infrastruktūra neatbilst programmu īstenošanas vajadzībām, īpaši vēlamies norādīt nepieciešamību nodrošināt infrastruktūras investīcijas Latgales industriālajā tehnikumā, kur jau tiek uzņemti audzēkņi un perspektīvā no 2025.gada ir paredzēta vairāku jaunu programmu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protokollēmumu ar uzdevumu Izglītības un zinātnes ministrijai un Finanšu ministrijai izvērtēt iespējamās investīciju programmu finansējuma pārdales, palielinot programmas kopējo finansējumu, lai nodrošinātu vismaz STEM programmu īstenošanai nepieciešamo infrastruktūras attīstību, nosakot termiņu šādu pārdales iespēju izvērtēšanai 2024.gada 30.septembri.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papildināts ar 7.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ministrijai līdz 2024.gada 29. novembrim izvērtēt iespējamās finansējuma pārdales Eiropas Savienības kohēzijas politikas programmas 2021. – 2027. gadam ietvaros, palielinot 4.2.1.6. pasākumam plānoto kopējo finansējumu, lai nodrošinātu nepieciešamo infrastruktūras attīstību tautsaimniecībai aktuālu izglītības programmu stiprināšanai vai jaunu izglītības programmu izveidei tautsaimniecībai aktuālu izglītības programmu grupās.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Atzīt Ministru kabineta 2023. gada 21. novembra protokollēmuma „Noteikumu projekts „Grozījumi Ministru kabineta 2016. gada 19. aprīļa noteikumos Nr. 249 „Darbības programmas "Izaugsme un nodarbinātība” 8.1.3. specifiskā atbalsta mērķa „Palielināt modernizēto profesionālās izglītības iestāžu skaitu” īstenošanas noteikumi”” (prot. Nr.58 52. §) 2. punktu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nepieciešamību Ministru kabineta sēdes protokollēmuma projekta 6.punktā norādītajam uzdevumam atzīt Ministru kabineta 2023. gada 21. novembra protokollēmuma „Noteikumu projekts „Grozījumi Ministru kabineta 2016. gada 19. aprīļa noteikumos Nr. 249 „Darbības programmas "Izaugsme un nodarbinātība” 8.1.3. specifiskā atbalsta mērķa „Palielināt modernizēto profesionālās izglītības iestāžu skaitu” īstenošanas noteikumi”” (prot. Nr.58 52. §)  2. punktu par aktualitāti zaudējušu, ņemot vērā, ka šis punkts paredz uzdevumu Valsts kancelejai sagatavot noteikumu projektu parakstīšanai.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 Ministru kabineta sēdes protokollēmuma projekta 7.punktā.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Atzīt Ministru kabineta 2023. gada 21. novembra protokollēmuma „Noteikumu projekts „Grozījumi Ministru kabineta 2016. gada 19. aprīļa noteikumos Nr. 249 „Darbības programmas "Izaugsme un nodarbinātība” 8.1.3. specifiskā atbalsta mērķa „Palielināt modernizēto profesionālās izglītības iestāžu skaitu” īstenošanas noteikumi”” (prot. Nr.58 52. §) 3. punktu par aktualitāti zaudējušu.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23-TA-1936</w:t>
    </w:r>
    <w:r>
      <w:br/>
    </w:r>
    <w:r w:rsidR="00000000" w:rsidRPr="00000000" w:rsidDel="00000000">
      <w:rPr>
        <w:rtl w:val="0"/>
      </w:rPr>
      <w:t xml:space="preserve">03.06.2024. 18.53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23-TA-1936</w:t>
    </w:r>
    <w:r>
      <w:br/>
    </w:r>
    <w:r w:rsidR="00000000" w:rsidRPr="00000000" w:rsidDel="00000000">
      <w:rPr>
        <w:rtl w:val="0"/>
      </w:rPr>
      <w:t xml:space="preserve">03.06.2024. 18.53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Izziņa_23-TA-1936.docx</dc:title>
</cp:coreProperties>
</file>

<file path=docProps/custom.xml><?xml version="1.0" encoding="utf-8"?>
<Properties xmlns="http://schemas.openxmlformats.org/officeDocument/2006/custom-properties" xmlns:vt="http://schemas.openxmlformats.org/officeDocument/2006/docPropsVTypes"/>
</file>