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24-TA-1626: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21. jūnija noteikumos Nr. 369 "Noteikumi par apsardzes darbības reģistru, apsardzes darbības reģistrāciju un prasībām apsardzes vadības centram"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ietekmes aprakstu mērķa grupām, jo šobrīd norādītā informācija nav attiecināma uz regulējuma ietekmi.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mainītas atbilstības prasības, līdz ar ko, lūdzu veikt noteikumu projektā iekļauto atbilstības prasību vērtējumu un atbilstoši vērtējumam veikt atbilstības izmaksu monetāru novērtējumu, kas aizpildāms par fiziskām un juridiskām personām anotācijas 2. sadaļas 2.4. apakšpunktā un valsts vai pašvaldību institūcijām 7. sadaļas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vērtējami noteikumu projekta punkti, ar kuriem tiek veiktas izmaiņas Ministru kabineta 2022. gada 21. jūnija noteikumu Nr. 369 "Noteikumi par apsardzes darbības reģistru, apsardzes darbības reģistrāciju un prasībām apsardzes vadības centram" 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7.4 apakšpunktā norādīto informāciju, ka atsevišķu ziņu iekļaušana apsardzes darbības reģistrā notiks automātiski no citām informācijas sistēmām, kas liecina par informācijas sniegšanas izmaiņām, lūdzu veikt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noteikumu projekta 11. un 21. punkts, kā arī punkti, kas nosaka informācijas sniegšanas pienākumu izmaiņas par informācijas iekļaušanu apsardzes darbības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apsardzes vadības centra telpas ieejas durvis ir izgatavotas no metāla ar vērtnes biezumu, ne mazāku par 45 mm, un durvju metāla plākšņu biezums ir ne mazāks par 2 mm, vai durvis ir izgatavotas no cita materiāla un atbilst vismaz Eiropas Savienības standarta EN 1627 RC3 drošības klasei, ir nodrošinātas pret to izcelšanu no virām un nostiprinātas sienu konstrukcijā atbilstoši drošības klasei noteiktajām rekomendācijām. Metāla durvis ir aizslēdzamas ar daudzpunktu slēdzeni un aprīkotas ar cilindrisku aizbīdni un durvju pievilcējmehānismu. Masīvkoka durvis aprīko ar vismaz vienu durvju vērtnē iebūvētu paaugstinātas pretuzlaušanas izturības slēdzeni. Slēdzenes bulta ir aizsargāta pret izzāģēšanu. Attālums no slēdzenes priekšplāksnes līdz pretplāksnei nav lielāks par 5 mm. Slēdzeni komplektē ar slēdzenes izturībai atbilstošas kvalitātes profilcilindru, kas ir nodrošināts pret vardarbīgu atslēgšanu, izurbšanu un izvilkšanu;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"Grozījumi Ministru kabineta 2022. gada 21. jūnija noteikumos Nr. 369 "Noteikumi par apsardzes darbības reģistru, apsardzes darbības reģistrāciju un prasībām apsardzes vadības centram"" (turpmāk – projekts) paredzētajā Ministru kabineta 2022. gada 21. jūnija noteikumu Nr. 369 "Noteikumi par apsardzes darbības reģistru, apsardzes darbības reģistrāciju un prasībām apsardzes vadības centram" (turpmāk – noteikumi) 4.5. un 4.8. apakšpunktā ir ietvertas atsauces uz standartiem, bet ne no projektā, ne no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minētā neizriet, kas ir šie standarti, piemēram, vai tie ir kādā Eiropas Savienības tiesību aktā (proti, regulā) minēti tieši piemērojamie standarti v.tml. Ja tie nav tieši piemērojami standarti, tad tiem jāatbilst Standartizācijas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4.5. un 4.8. apakšpunktā ietverto regulējumu un precizēt to, kā arī papildināt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4.5. un 4.8. apakšpunkts.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apsardzes vadības centra telpas ieejas durvis ir izgatavotas no metāla ar vērtnes biezumu, ne mazāku par 45 mm, un durvju metāla plākšņu biezums ir ne mazāks par 2 mm, vai durvis ir izgatavotas no cita materiāla, kuru ugunsizturība ir atbilstoša šo noteikumu 4.2.apakšpunktā paredzētajās būvēs. Durvis ir nodrošinātas pret to izcelšanu no virām un to rāmis trieciendroši nostiprināts sienu konstrukcijā. Durvju konstrukcijas pretuzlaušanas izturības laiks ir vismaz piecas minūtes. Metāla durvis ir aizslēdzamas ar daudzpunktu slēdzeni un aprīkotas ar cilindrisku aizbīdni un durvju pievilcējmehānismu. Masīvkoka vai cita materiāla durvis aprīko ar vismaz vienu durvju vērtnē iebūvētu paaugstinātas pretuzlaušanas izturības slēdzeni. Slēdzenes bulta ir aizsargāta pret izzāģēšanu. Attālums no slēdzenes priekšplāksnes līdz pretplāksnei nav lielāks par 5 mm. Slēdzeni komplektē ar slēdzenes izturībai atbilstošas kvalitātes profilcilindru, kas ir nodrošināts pret vardarbīgu atslēgšanu, izurbšanu un izvilkšanu;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apsardzes komersants, sniedzot inkasācijas apsardzes un tehniskās apsardzes pakalpojumus, sakaru nodrošināšanai ir saņēmis valsts akciju sabiedrības "Elektroniskie sakari" radiofrekvences piešķīruma lietošanas atļauju stacionāras vai mobilo, vai pārnēsājamo radioiekārtu darbībai sauszemes mobilo radiosakaru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2023. gada 21. marta noteikumu Nr. 133 "Radiofrekvences piešķīruma lietošanas atļauju noteikumi" 35.2. apakšpunkts noteic, ka valsts akciju sabiedrība "Elektroniskie sakari", izskatot radioatļaujas pieprasījumu, izsniedz radiofrekvences piešķīruma lietošanas atļauju, pirms tam neizsniedzot uzstādīšanas atļauju </w:t>
            </w:r>
            <w:r w:rsidR="00000000" w:rsidRPr="00000000" w:rsidDel="00000000">
              <w:rPr>
                <w:u w:val="single"/>
                <w:rtl w:val="0"/>
              </w:rPr>
              <w:t xml:space="preserve">mobilajām, pārnēsājamajām sauszemes mobilo sakaru radioiekārtām un stacionāro galastaciju radioiekārtām, kas paredzētas izmantošanai esošajos sauszemes mobilo radiosakaru tīklos</w:t>
            </w:r>
            <w:r w:rsidR="00000000" w:rsidRPr="00000000" w:rsidDel="00000000">
              <w:rPr>
                <w:rtl w:val="0"/>
              </w:rPr>
              <w:t xml:space="preserve">, kuriem izsniegtas radiofrekvences piešķīruma lietošanas atļaujas, vai radiosakaru tīklos bez stacionārajām radiostacijām vai radioiekārtām.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4.25. apakšpunktā ietverto regulējumu, projekta pielikumā ietverto informāciju un precizēt to, kā arī precizēt anotācijā ietverto informāciju par attiecīgo terminu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21. marta noteikumu Nr. 133 "Radiofrekvences piešķīruma lietošanas atļauju noteikumi" (turpmāk – MK noteikumi Nr.133) 1.1. apakšpunkts nosaka, ka noteikumi nosaka radiofrekvences piešķīruma lietošanas atļauju (turpmāk – radioatļauja) veidus un derīguma termiņus, priekšnoteikumus to izsniegšanai un anulēšanai, radioiekārtas darbības nosacījumus un lietošanas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MK noteikumu Nr.133 6. punkts paredz, ka valsts akciju sabiedrība "Elektroniskie sakari" izsniedz šādas radioatļaujas: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uzstādīšanas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pagaidu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īstermiņa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minētais MK noteikumu Nr.133 35.2. apakšpunkts noteic, ka valsts akciju sabiedrība "Elektroniskie sakari” var uzreiz izsniegt minēto noteikumu 6.3. apakšpunktā noteikto lietošanas atļauju, kas ir viens no radiofrekvences piešķīruma lietošanas atļaujas veidiem, neizsniedzot 6.1. apakšpunktā minēto uzstādīšanas atļauju. Abi minētie atļauju veidi ir radiofrekvences piešķīruma lietošanas atļaujas (radioatļaujas).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piedāvātajā  MK noteikumu Nr.369 4.25.apakšpunkta redakcijā ir lietota pareiza terminoloģija, jo tā paredz saņemt radiofrekvences piešķīruma lietošanas atļauju (radioatļauju), t.i., kādu no MK noteikumu Nr.133 6.punktā iespējamiem veidiem, nevis tikai 6.3. apakšpunktā noteikto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apsardzes komersants, sniedzot inkasācijas apsardzes un tehniskās apsardzes pakalpojumus, sakaru nodrošināšanai ir saņēmis valsts kapitālsabiedrības Sabiedrības ar ierobežotu atbildību "Elektroniskie sakari" radiofrekvences piešķīruma lietošanas atļauju stacionāras vai mobilo, vai pārnēsājamo radioiekārtu darbībai sauszemes mobilo radiosakaru tīklā.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spēkā esošie civiltiesiskās atbildības obligātās apdrošināšanas līgumi par fiziskās apsardzes, tehniskās apsardzes vai inkasācijas apsardzes apdrošināšanas periodu (polises darbības laiks, polises numurs un apdrošinātāja nosaukums) un pievieno reģistrā civiltiesiskās atbildības obligātās apdrošināšanas līgumu (polisi, polises tulkojumu);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3. februāra noteikumu Nr. 58 "Noteikumi par civiltiesiskās atbildības obligāto apdrošināšanu apsardzes darbībā" 2., 4., 5., 6. un 7. punkts noteic, ka </w:t>
            </w:r>
            <w:r w:rsidR="00000000" w:rsidRPr="00000000" w:rsidDel="00000000">
              <w:rPr>
                <w:u w:val="single"/>
                <w:rtl w:val="0"/>
              </w:rPr>
              <w:t xml:space="preserve">apsardzes komersants mēneša laikā pēc reģistrācijas apsardzes darbības reģistrā (turpmāk – reģistrs) noslēdz civiltiesiskās atbildības apdrošināšanas līgumu (turpmāk – apdrošināšanas līgums). Piecu darbdienu laikā pēc apdrošināšanas līguma noslēgšanas apsardzes komersants pievieno polisi savā profilā reģistrā. Apsardzes komersants, kas civiltiesisko atbildību ir apdrošinājis citā Eiropas Savienības dalībvalstī vai Eiropas Ekonomikas zonas valstī, mēneša laikā pēc reģistrācijas savā profilā reģistrā pievieno polisi un tās tulkojumu. Ja apdrošināšanas līgums tiek izbeigts pirms termiņa, apsardzes komersanta pienākums ir noslēgt jaunu apdrošināšanas līgumu, kas ir spēkā ar dienu, kad izbeigts iepriekšējais apdrošināšanas līgums. .Ja apsardzes komersants pagarina apdrošināšanas līguma darbības termiņu vai noslēdz jaunu līgumu, viņš piecu darbdienu laikā savā profilā reģistrā pievieno polisi un polises tulkojumu, ja civiltiesiskā atbildība apdrošināta citā Eiropas Savienības dalībvalstī vai Eiropas Ekonomikas zonas valstī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projektā paredzētajā noteikumu 37.4. apakšpunktā ietverto regulējumu, apdrošināšanas komersantam divas reizes jāiesniedz reģistrā viena un tā pati informācija. Līdz ar to lūdzam izvērtēt projektā paredzētajā noteikumu 37.4. apakšpunktā ietverto regulējumu un nepieciešamības gadījumā precizēt to,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MK noteikumu Nr.369 37.4.apakšpunkta redakcija  paredz, ka apsardzes komersanti par veicamo apsardzes darbību reģistrā iekļauj ziņas - spēkā esošie civiltiesiskās atbildības obligātās apdrošināšanas līgumi (apdrošināšanas periods, polises numurs un apdrošinātāja nosaukums). Saskaņā ar Ministru kabineta 03.02.2015. noteikumu Nr.58 "Noteikumi par civiltiesiskās atbildības obligāto apdrošināšanu apsardzes darbībā" 4., 5. un 7.punktu apsardzes komersantam savā profilā reģistrā jāpievieno arī polisi (noteiktos gadījumos arī polises tulkojumu). Līdz ar to atbilstoši precizējams MK noteikumu Nr.369 37.4.apakšpunkts. Tomēr tas nenozīmē, ka apsardzes komersantam divas reizes jāiesniedz reģistrā viena un tā pati informācija (savukārt apdrošināšanas komersanti informāciju reģistram nesniedz). Anotācijā ir sniegts atbilstošs skaidrojums par MK noteikumu Nr.369 37.4.apakšpunkta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spēkā esošie civiltiesiskās atbildības obligātās apdrošināšanas līgumi par fiziskās apsardzes, tehniskās apsardzes vai inkasācijas apsardzes apdrošināšanas periodu (polises darbības laiks, polises numurs un apdrošinātāja nosaukums) un pievieno reģistrā civiltiesiskās atbildības obligātās apdrošināšanas līgumu (polisi, polises tulkojumu);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24-TA-1626</w:t>
    </w:r>
    <w:r>
      <w:br/>
    </w:r>
    <w:r w:rsidR="00000000" w:rsidRPr="00000000" w:rsidDel="00000000">
      <w:rPr>
        <w:rtl w:val="0"/>
      </w:rPr>
      <w:t xml:space="preserve">29.09.2025. 16.44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24-TA-1626</w:t>
    </w:r>
    <w:r>
      <w:br/>
    </w:r>
    <w:r w:rsidR="00000000" w:rsidRPr="00000000" w:rsidDel="00000000">
      <w:rPr>
        <w:rtl w:val="0"/>
      </w:rPr>
      <w:t xml:space="preserve">29.09.2025. 16.44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Izziņa_24-TA-1626.docx</dc:title>
</cp:coreProperties>
</file>

<file path=docProps/custom.xml><?xml version="1.0" encoding="utf-8"?>
<Properties xmlns="http://schemas.openxmlformats.org/officeDocument/2006/custom-properties" xmlns:vt="http://schemas.openxmlformats.org/officeDocument/2006/docPropsVTypes"/>
</file>