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6D749B" w14:textId="77777777" w:rsidR="00786DAF" w:rsidRDefault="00786DAF" w:rsidP="002C22B9">
      <w:pPr>
        <w:jc w:val="center"/>
        <w:rPr>
          <w:sz w:val="20"/>
        </w:rPr>
      </w:pPr>
      <w:bookmarkStart w:id="0" w:name="_GoBack"/>
      <w:bookmarkEnd w:id="0"/>
    </w:p>
    <w:p w14:paraId="601F4688" w14:textId="77777777" w:rsidR="002C22B9" w:rsidRDefault="002C22B9" w:rsidP="002C22B9">
      <w:pPr>
        <w:jc w:val="center"/>
        <w:rPr>
          <w:sz w:val="20"/>
        </w:rPr>
      </w:pPr>
      <w:r w:rsidRPr="00914649">
        <w:rPr>
          <w:sz w:val="20"/>
        </w:rPr>
        <w:t>Rīgā</w:t>
      </w:r>
    </w:p>
    <w:p w14:paraId="2AE1C2B9"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7832C484" w14:textId="77777777" w:rsidTr="009F77B9">
        <w:tc>
          <w:tcPr>
            <w:tcW w:w="450" w:type="dxa"/>
            <w:tcBorders>
              <w:top w:val="nil"/>
              <w:left w:val="nil"/>
              <w:bottom w:val="nil"/>
              <w:right w:val="nil"/>
            </w:tcBorders>
          </w:tcPr>
          <w:p w14:paraId="31F7FB97" w14:textId="77777777" w:rsidR="002C22B9" w:rsidRPr="00615936" w:rsidRDefault="002C22B9" w:rsidP="002C22B9">
            <w:pPr>
              <w:tabs>
                <w:tab w:val="left" w:pos="360"/>
                <w:tab w:val="left" w:pos="3960"/>
              </w:tabs>
              <w:rPr>
                <w:sz w:val="20"/>
              </w:rPr>
            </w:pPr>
          </w:p>
        </w:tc>
        <w:bookmarkStart w:id="1" w:name="reg_dat"/>
        <w:tc>
          <w:tcPr>
            <w:tcW w:w="1785" w:type="dxa"/>
            <w:tcBorders>
              <w:top w:val="nil"/>
              <w:left w:val="nil"/>
              <w:bottom w:val="single" w:sz="4" w:space="0" w:color="auto"/>
              <w:right w:val="nil"/>
            </w:tcBorders>
          </w:tcPr>
          <w:p w14:paraId="117B952B" w14:textId="4E9A3AB6"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267C20">
              <w:rPr>
                <w:szCs w:val="24"/>
              </w:rPr>
              <w:t>14.04.2021</w:t>
            </w:r>
            <w:r w:rsidRPr="00615936">
              <w:rPr>
                <w:szCs w:val="24"/>
              </w:rPr>
              <w:fldChar w:fldCharType="end"/>
            </w:r>
            <w:bookmarkEnd w:id="1"/>
          </w:p>
        </w:tc>
        <w:tc>
          <w:tcPr>
            <w:tcW w:w="708" w:type="dxa"/>
            <w:tcBorders>
              <w:top w:val="nil"/>
              <w:left w:val="nil"/>
              <w:bottom w:val="nil"/>
              <w:right w:val="nil"/>
            </w:tcBorders>
          </w:tcPr>
          <w:p w14:paraId="4D1646C5" w14:textId="77777777" w:rsidR="002C22B9" w:rsidRPr="00615936" w:rsidRDefault="002C22B9" w:rsidP="002C22B9">
            <w:pPr>
              <w:tabs>
                <w:tab w:val="left" w:pos="360"/>
                <w:tab w:val="left" w:pos="3960"/>
              </w:tabs>
              <w:jc w:val="center"/>
              <w:rPr>
                <w:sz w:val="20"/>
              </w:rPr>
            </w:pPr>
            <w:r w:rsidRPr="00615936">
              <w:rPr>
                <w:sz w:val="20"/>
              </w:rPr>
              <w:t>Nr.</w:t>
            </w:r>
          </w:p>
        </w:tc>
        <w:bookmarkStart w:id="2" w:name="lietas_nr"/>
        <w:tc>
          <w:tcPr>
            <w:tcW w:w="2727" w:type="dxa"/>
            <w:tcBorders>
              <w:top w:val="nil"/>
              <w:left w:val="nil"/>
              <w:bottom w:val="single" w:sz="4" w:space="0" w:color="auto"/>
              <w:right w:val="nil"/>
            </w:tcBorders>
          </w:tcPr>
          <w:p w14:paraId="6AA5DD96" w14:textId="31AC9240"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D15392">
              <w:rPr>
                <w:szCs w:val="24"/>
              </w:rPr>
              <w:t>12/A-7</w:t>
            </w:r>
            <w:r w:rsidRPr="00615936">
              <w:rPr>
                <w:szCs w:val="24"/>
              </w:rPr>
              <w:fldChar w:fldCharType="end"/>
            </w:r>
            <w:bookmarkEnd w:id="2"/>
            <w:r w:rsidRPr="00615936">
              <w:rPr>
                <w:szCs w:val="24"/>
              </w:rPr>
              <w:t>/</w:t>
            </w:r>
            <w:bookmarkStart w:id="3"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267C20">
              <w:rPr>
                <w:szCs w:val="24"/>
              </w:rPr>
              <w:t>2066</w:t>
            </w:r>
            <w:r w:rsidRPr="00615936">
              <w:rPr>
                <w:szCs w:val="24"/>
              </w:rPr>
              <w:fldChar w:fldCharType="end"/>
            </w:r>
            <w:bookmarkEnd w:id="3"/>
          </w:p>
        </w:tc>
      </w:tr>
      <w:tr w:rsidR="002C22B9" w:rsidRPr="00615936" w14:paraId="40BF08F8" w14:textId="77777777" w:rsidTr="009F77B9">
        <w:trPr>
          <w:trHeight w:val="188"/>
        </w:trPr>
        <w:tc>
          <w:tcPr>
            <w:tcW w:w="450" w:type="dxa"/>
            <w:tcBorders>
              <w:top w:val="nil"/>
              <w:left w:val="nil"/>
              <w:bottom w:val="nil"/>
              <w:right w:val="nil"/>
            </w:tcBorders>
          </w:tcPr>
          <w:p w14:paraId="4EA9F3EA"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68FF2A80"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200E702E"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64F25BF7" w14:textId="77777777" w:rsidR="002C22B9" w:rsidRPr="00615936" w:rsidRDefault="002C22B9" w:rsidP="002C22B9">
            <w:pPr>
              <w:tabs>
                <w:tab w:val="left" w:pos="360"/>
                <w:tab w:val="left" w:pos="3960"/>
              </w:tabs>
              <w:rPr>
                <w:sz w:val="20"/>
              </w:rPr>
            </w:pPr>
          </w:p>
        </w:tc>
      </w:tr>
      <w:tr w:rsidR="002C22B9" w:rsidRPr="00615936" w14:paraId="10793DDD" w14:textId="77777777" w:rsidTr="009F77B9">
        <w:tc>
          <w:tcPr>
            <w:tcW w:w="450" w:type="dxa"/>
            <w:tcBorders>
              <w:top w:val="nil"/>
              <w:left w:val="nil"/>
              <w:bottom w:val="nil"/>
              <w:right w:val="nil"/>
            </w:tcBorders>
          </w:tcPr>
          <w:p w14:paraId="7BC7DDB1" w14:textId="77777777" w:rsidR="002C22B9" w:rsidRPr="00615936" w:rsidRDefault="002C22B9" w:rsidP="002C22B9">
            <w:pPr>
              <w:tabs>
                <w:tab w:val="left" w:pos="360"/>
                <w:tab w:val="left" w:pos="3960"/>
              </w:tabs>
              <w:rPr>
                <w:sz w:val="20"/>
              </w:rPr>
            </w:pPr>
            <w:r w:rsidRPr="00615936">
              <w:rPr>
                <w:sz w:val="20"/>
              </w:rPr>
              <w:t>Uz</w:t>
            </w:r>
          </w:p>
        </w:tc>
        <w:bookmarkStart w:id="4" w:name="san_dat"/>
        <w:tc>
          <w:tcPr>
            <w:tcW w:w="1785" w:type="dxa"/>
            <w:tcBorders>
              <w:top w:val="nil"/>
              <w:left w:val="nil"/>
              <w:bottom w:val="single" w:sz="4" w:space="0" w:color="auto"/>
              <w:right w:val="nil"/>
            </w:tcBorders>
          </w:tcPr>
          <w:p w14:paraId="3D90DA12" w14:textId="067993D9"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D15392">
              <w:rPr>
                <w:szCs w:val="24"/>
              </w:rPr>
              <w:t>06.04.2021</w:t>
            </w:r>
            <w:r w:rsidRPr="00615936">
              <w:rPr>
                <w:szCs w:val="24"/>
              </w:rPr>
              <w:fldChar w:fldCharType="end"/>
            </w:r>
            <w:bookmarkEnd w:id="4"/>
          </w:p>
        </w:tc>
        <w:tc>
          <w:tcPr>
            <w:tcW w:w="708" w:type="dxa"/>
            <w:tcBorders>
              <w:top w:val="nil"/>
              <w:left w:val="nil"/>
              <w:bottom w:val="nil"/>
              <w:right w:val="nil"/>
            </w:tcBorders>
          </w:tcPr>
          <w:p w14:paraId="790AA74C" w14:textId="77777777" w:rsidR="002C22B9" w:rsidRPr="00615936" w:rsidRDefault="002C22B9" w:rsidP="002C22B9">
            <w:pPr>
              <w:tabs>
                <w:tab w:val="left" w:pos="360"/>
                <w:tab w:val="left" w:pos="3960"/>
              </w:tabs>
              <w:jc w:val="center"/>
              <w:rPr>
                <w:sz w:val="20"/>
              </w:rPr>
            </w:pPr>
            <w:r w:rsidRPr="00615936">
              <w:rPr>
                <w:sz w:val="20"/>
              </w:rPr>
              <w:t>Nr.</w:t>
            </w:r>
          </w:p>
        </w:tc>
        <w:bookmarkStart w:id="5" w:name="san_num"/>
        <w:tc>
          <w:tcPr>
            <w:tcW w:w="2727" w:type="dxa"/>
            <w:tcBorders>
              <w:top w:val="nil"/>
              <w:left w:val="nil"/>
              <w:bottom w:val="single" w:sz="4" w:space="0" w:color="auto"/>
              <w:right w:val="nil"/>
            </w:tcBorders>
          </w:tcPr>
          <w:p w14:paraId="28C108BF" w14:textId="4633C52A"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D15392">
              <w:rPr>
                <w:szCs w:val="24"/>
              </w:rPr>
              <w:t>3.3-8/2021/2642N</w:t>
            </w:r>
            <w:r w:rsidRPr="00615936">
              <w:rPr>
                <w:szCs w:val="24"/>
              </w:rPr>
              <w:fldChar w:fldCharType="end"/>
            </w:r>
            <w:bookmarkEnd w:id="5"/>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3C5C7905" w14:textId="77777777" w:rsidTr="000C0DD4">
        <w:trPr>
          <w:jc w:val="right"/>
        </w:trPr>
        <w:tc>
          <w:tcPr>
            <w:tcW w:w="4644" w:type="dxa"/>
          </w:tcPr>
          <w:p w14:paraId="1646FCC9" w14:textId="56C01086" w:rsidR="000C0DD4" w:rsidRDefault="00D15392" w:rsidP="000C0DD4">
            <w:pPr>
              <w:jc w:val="right"/>
              <w:rPr>
                <w:b/>
                <w:bCs/>
                <w:szCs w:val="24"/>
                <w:lang w:eastAsia="lv-LV"/>
              </w:rPr>
            </w:pPr>
            <w:bookmarkStart w:id="6" w:name="org_nos"/>
            <w:r>
              <w:rPr>
                <w:b/>
                <w:bCs/>
                <w:szCs w:val="24"/>
                <w:lang w:eastAsia="lv-LV"/>
              </w:rPr>
              <w:t>Ekonomikas ministrija</w:t>
            </w:r>
            <w:r w:rsidR="00C53D4E">
              <w:rPr>
                <w:b/>
                <w:bCs/>
                <w:szCs w:val="24"/>
                <w:lang w:eastAsia="lv-LV"/>
              </w:rPr>
              <w:t>i</w:t>
            </w:r>
          </w:p>
        </w:tc>
      </w:tr>
      <w:bookmarkEnd w:id="6"/>
    </w:tbl>
    <w:p w14:paraId="429B9207"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14:paraId="140233DD" w14:textId="77777777" w:rsidTr="000C0DD4">
        <w:tc>
          <w:tcPr>
            <w:tcW w:w="4503" w:type="dxa"/>
            <w:tcBorders>
              <w:top w:val="nil"/>
              <w:left w:val="nil"/>
              <w:bottom w:val="nil"/>
              <w:right w:val="nil"/>
            </w:tcBorders>
          </w:tcPr>
          <w:p w14:paraId="2EBAA727" w14:textId="1F4F7429" w:rsidR="00D15392" w:rsidRDefault="00D15392" w:rsidP="00C04DED">
            <w:pPr>
              <w:jc w:val="left"/>
              <w:rPr>
                <w:i/>
                <w:iCs/>
                <w:szCs w:val="24"/>
                <w:lang w:eastAsia="lv-LV"/>
              </w:rPr>
            </w:pPr>
            <w:r>
              <w:rPr>
                <w:i/>
                <w:iCs/>
                <w:szCs w:val="24"/>
                <w:lang w:eastAsia="lv-LV"/>
              </w:rPr>
              <w:t xml:space="preserve">Par </w:t>
            </w:r>
            <w:r w:rsidR="009F1B8D">
              <w:rPr>
                <w:i/>
                <w:iCs/>
                <w:szCs w:val="24"/>
                <w:lang w:eastAsia="lv-LV"/>
              </w:rPr>
              <w:t xml:space="preserve">precizēto MK </w:t>
            </w:r>
            <w:r>
              <w:rPr>
                <w:i/>
                <w:iCs/>
                <w:szCs w:val="24"/>
                <w:lang w:eastAsia="lv-LV"/>
              </w:rPr>
              <w:t xml:space="preserve">noteikumu projektu "Grozījumi Ministru kabineta 2020.gada 2.septembra noteikumos Nr.560 "Noteikumi par elektroenerģijas ražošanu, izmantojot atjaunojamos energoresursus, kā arī par cenu noteikšanas kārtību un uzraudzību" </w:t>
            </w:r>
          </w:p>
          <w:p w14:paraId="653DEEE2" w14:textId="49AB41E3" w:rsidR="000C0DD4" w:rsidRDefault="00D15392" w:rsidP="00C04DED">
            <w:pPr>
              <w:jc w:val="left"/>
              <w:rPr>
                <w:i/>
                <w:iCs/>
                <w:szCs w:val="24"/>
                <w:lang w:eastAsia="lv-LV"/>
              </w:rPr>
            </w:pPr>
            <w:r>
              <w:rPr>
                <w:i/>
                <w:iCs/>
                <w:szCs w:val="24"/>
                <w:lang w:eastAsia="lv-LV"/>
              </w:rPr>
              <w:t>VSS-38</w:t>
            </w:r>
          </w:p>
        </w:tc>
      </w:tr>
    </w:tbl>
    <w:p w14:paraId="338C5E02" w14:textId="77777777" w:rsidR="00E04F00" w:rsidRPr="00615936" w:rsidRDefault="00E04F00" w:rsidP="00C04DED">
      <w:pPr>
        <w:jc w:val="left"/>
        <w:rPr>
          <w:szCs w:val="24"/>
        </w:rPr>
      </w:pPr>
    </w:p>
    <w:p w14:paraId="34E843ED" w14:textId="0C56AA56" w:rsidR="00C53D4E" w:rsidRPr="00C53D4E" w:rsidRDefault="00C53D4E" w:rsidP="00C53D4E">
      <w:pPr>
        <w:ind w:firstLine="567"/>
        <w:rPr>
          <w:color w:val="000000"/>
          <w:sz w:val="22"/>
          <w:shd w:val="clear" w:color="auto" w:fill="FFFFFF"/>
        </w:rPr>
      </w:pPr>
      <w:r>
        <w:t xml:space="preserve">Finanšu ministrija atbilstoši kompetencei ir izskatījusi Ekonomikas ministrijas precizēto </w:t>
      </w:r>
      <w:r w:rsidR="009F1B8D">
        <w:t xml:space="preserve">Ministru kabineta </w:t>
      </w:r>
      <w:r>
        <w:t>noteikumu projektu “Grozījumi Ministru kabineta 2020.gada 2.septembra noteikumos Nr.560 “</w:t>
      </w:r>
      <w:r>
        <w:rPr>
          <w:color w:val="000000"/>
          <w:shd w:val="clear" w:color="auto" w:fill="FFFFFF"/>
        </w:rPr>
        <w:t xml:space="preserve">Noteikumi par elektroenerģijas ražošanu, izmantojot atjaunojamos energoresursus, kā arī par cenu noteikšanas kārtību un uzraudzību” (turpmāk – </w:t>
      </w:r>
      <w:r w:rsidR="009F1B8D">
        <w:rPr>
          <w:color w:val="000000"/>
          <w:shd w:val="clear" w:color="auto" w:fill="FFFFFF"/>
        </w:rPr>
        <w:t>N</w:t>
      </w:r>
      <w:r>
        <w:rPr>
          <w:color w:val="000000"/>
          <w:shd w:val="clear" w:color="auto" w:fill="FFFFFF"/>
        </w:rPr>
        <w:t>oteikumu projekts), anotāciju, šā gada 12.aprīlī saņemto precizēto anotāciju,  izziņu par atzinumos izteiktajiem iebildumiem un izsaka šādus iebildumus.</w:t>
      </w:r>
    </w:p>
    <w:p w14:paraId="4D829D09" w14:textId="5EFAD7C1" w:rsidR="00C53D4E" w:rsidRDefault="00C53D4E" w:rsidP="00C53D4E">
      <w:pPr>
        <w:numPr>
          <w:ilvl w:val="0"/>
          <w:numId w:val="1"/>
        </w:numPr>
        <w:shd w:val="clear" w:color="auto" w:fill="FFFFFF"/>
        <w:tabs>
          <w:tab w:val="left" w:pos="851"/>
        </w:tabs>
        <w:autoSpaceDN w:val="0"/>
        <w:spacing w:line="252" w:lineRule="auto"/>
        <w:ind w:left="0" w:firstLine="567"/>
        <w:textAlignment w:val="baseline"/>
        <w:rPr>
          <w:color w:val="000000"/>
          <w:shd w:val="clear" w:color="auto" w:fill="FFFFFF"/>
        </w:rPr>
      </w:pPr>
      <w:r>
        <w:rPr>
          <w:color w:val="000000"/>
          <w:shd w:val="clear" w:color="auto" w:fill="FFFFFF"/>
        </w:rPr>
        <w:t>Uzturam Finanšu ministrijas izteikto iebildumu par Noteikumu projekta 3.punktu. Papildus iepriekš izteiktajam iebildumam (izziņas 1.punkts) skaidrojam, ka Elektroenerģijas tirgus likuma (turpmāk – ETL) pārejas noteikumu 52.</w:t>
      </w:r>
      <w:r>
        <w:rPr>
          <w:color w:val="000000"/>
          <w:shd w:val="clear" w:color="auto" w:fill="FFFFFF"/>
          <w:vertAlign w:val="superscript"/>
        </w:rPr>
        <w:t>1</w:t>
      </w:r>
      <w:r>
        <w:rPr>
          <w:color w:val="000000"/>
          <w:shd w:val="clear" w:color="auto" w:fill="FFFFFF"/>
        </w:rPr>
        <w:t> punktā ir noteikts, ka uz ražotājiem, kas izmanto šo pārejas noteikumu 52.punktā minētās tiesības</w:t>
      </w:r>
      <w:r w:rsidR="009F1B8D">
        <w:rPr>
          <w:color w:val="000000"/>
          <w:shd w:val="clear" w:color="auto" w:fill="FFFFFF"/>
        </w:rPr>
        <w:t>,</w:t>
      </w:r>
      <w:r>
        <w:rPr>
          <w:color w:val="000000"/>
          <w:shd w:val="clear" w:color="auto" w:fill="FFFFFF"/>
        </w:rPr>
        <w:t xml:space="preserve"> ir attiecināmi šā likuma </w:t>
      </w:r>
      <w:hyperlink r:id="rId8" w:anchor="p29.2" w:history="1">
        <w:r>
          <w:rPr>
            <w:rStyle w:val="Hyperlink"/>
            <w:color w:val="000000"/>
            <w:shd w:val="clear" w:color="auto" w:fill="FFFFFF"/>
          </w:rPr>
          <w:t>29.</w:t>
        </w:r>
        <w:r>
          <w:rPr>
            <w:rStyle w:val="Hyperlink"/>
            <w:color w:val="000000"/>
            <w:shd w:val="clear" w:color="auto" w:fill="FFFFFF"/>
            <w:vertAlign w:val="superscript"/>
          </w:rPr>
          <w:t>2</w:t>
        </w:r>
      </w:hyperlink>
      <w:r>
        <w:rPr>
          <w:color w:val="000000"/>
          <w:shd w:val="clear" w:color="auto" w:fill="FFFFFF"/>
        </w:rPr>
        <w:t>, </w:t>
      </w:r>
      <w:hyperlink r:id="rId9" w:anchor="p30.4" w:history="1">
        <w:r>
          <w:rPr>
            <w:rStyle w:val="Hyperlink"/>
            <w:color w:val="000000"/>
            <w:shd w:val="clear" w:color="auto" w:fill="FFFFFF"/>
          </w:rPr>
          <w:t>30.</w:t>
        </w:r>
        <w:r>
          <w:rPr>
            <w:rStyle w:val="Hyperlink"/>
            <w:color w:val="000000"/>
            <w:shd w:val="clear" w:color="auto" w:fill="FFFFFF"/>
            <w:vertAlign w:val="superscript"/>
          </w:rPr>
          <w:t>4</w:t>
        </w:r>
      </w:hyperlink>
      <w:r>
        <w:rPr>
          <w:color w:val="000000"/>
          <w:shd w:val="clear" w:color="auto" w:fill="FFFFFF"/>
        </w:rPr>
        <w:t>, </w:t>
      </w:r>
      <w:hyperlink r:id="rId10" w:anchor="p31.1" w:history="1">
        <w:r>
          <w:rPr>
            <w:rStyle w:val="Hyperlink"/>
            <w:color w:val="000000"/>
            <w:shd w:val="clear" w:color="auto" w:fill="FFFFFF"/>
          </w:rPr>
          <w:t>31.</w:t>
        </w:r>
        <w:r>
          <w:rPr>
            <w:rStyle w:val="Hyperlink"/>
            <w:color w:val="000000"/>
            <w:shd w:val="clear" w:color="auto" w:fill="FFFFFF"/>
            <w:vertAlign w:val="superscript"/>
          </w:rPr>
          <w:t>1</w:t>
        </w:r>
      </w:hyperlink>
      <w:r>
        <w:rPr>
          <w:color w:val="000000"/>
          <w:shd w:val="clear" w:color="auto" w:fill="FFFFFF"/>
        </w:rPr>
        <w:t> un </w:t>
      </w:r>
      <w:hyperlink r:id="rId11" w:anchor="p31.2" w:history="1">
        <w:r>
          <w:rPr>
            <w:rStyle w:val="Hyperlink"/>
            <w:b/>
            <w:bCs/>
            <w:color w:val="000000"/>
            <w:shd w:val="clear" w:color="auto" w:fill="FFFFFF"/>
          </w:rPr>
          <w:t>31.</w:t>
        </w:r>
        <w:r>
          <w:rPr>
            <w:rStyle w:val="Hyperlink"/>
            <w:b/>
            <w:bCs/>
            <w:color w:val="000000"/>
            <w:shd w:val="clear" w:color="auto" w:fill="FFFFFF"/>
            <w:vertAlign w:val="superscript"/>
          </w:rPr>
          <w:t>2</w:t>
        </w:r>
        <w:r>
          <w:rPr>
            <w:rStyle w:val="Hyperlink"/>
            <w:b/>
            <w:bCs/>
            <w:color w:val="000000"/>
            <w:shd w:val="clear" w:color="auto" w:fill="FFFFFF"/>
          </w:rPr>
          <w:t> panta</w:t>
        </w:r>
      </w:hyperlink>
      <w:r>
        <w:rPr>
          <w:color w:val="000000"/>
          <w:shd w:val="clear" w:color="auto" w:fill="FFFFFF"/>
        </w:rPr>
        <w:t xml:space="preserve"> nosacījumi, t.i., jāievēro visi ETL </w:t>
      </w:r>
      <w:hyperlink r:id="rId12" w:anchor="p31.2" w:history="1">
        <w:r>
          <w:rPr>
            <w:rStyle w:val="Hyperlink"/>
            <w:b/>
            <w:bCs/>
            <w:color w:val="000000"/>
            <w:shd w:val="clear" w:color="auto" w:fill="FFFFFF"/>
          </w:rPr>
          <w:t>31.</w:t>
        </w:r>
        <w:r>
          <w:rPr>
            <w:rStyle w:val="Hyperlink"/>
            <w:b/>
            <w:bCs/>
            <w:color w:val="000000"/>
            <w:shd w:val="clear" w:color="auto" w:fill="FFFFFF"/>
            <w:vertAlign w:val="superscript"/>
          </w:rPr>
          <w:t>2</w:t>
        </w:r>
        <w:r>
          <w:rPr>
            <w:rStyle w:val="Hyperlink"/>
            <w:b/>
            <w:bCs/>
            <w:color w:val="000000"/>
            <w:shd w:val="clear" w:color="auto" w:fill="FFFFFF"/>
          </w:rPr>
          <w:t> panta</w:t>
        </w:r>
      </w:hyperlink>
      <w:r>
        <w:rPr>
          <w:color w:val="000000"/>
          <w:shd w:val="clear" w:color="auto" w:fill="FFFFFF"/>
        </w:rPr>
        <w:t xml:space="preserve"> nosacījumi. Ņemot vērā, ka ETL </w:t>
      </w:r>
      <w:hyperlink r:id="rId13" w:anchor="p31.2" w:history="1">
        <w:r>
          <w:rPr>
            <w:rStyle w:val="Hyperlink"/>
            <w:color w:val="000000"/>
            <w:shd w:val="clear" w:color="auto" w:fill="FFFFFF"/>
          </w:rPr>
          <w:t>31.</w:t>
        </w:r>
        <w:r>
          <w:rPr>
            <w:rStyle w:val="Hyperlink"/>
            <w:color w:val="000000"/>
            <w:shd w:val="clear" w:color="auto" w:fill="FFFFFF"/>
            <w:vertAlign w:val="superscript"/>
          </w:rPr>
          <w:t>2</w:t>
        </w:r>
        <w:r>
          <w:rPr>
            <w:rStyle w:val="Hyperlink"/>
            <w:color w:val="000000"/>
            <w:shd w:val="clear" w:color="auto" w:fill="FFFFFF"/>
          </w:rPr>
          <w:t> panta</w:t>
        </w:r>
      </w:hyperlink>
      <w:r>
        <w:rPr>
          <w:color w:val="000000"/>
          <w:shd w:val="clear" w:color="auto" w:fill="FFFFFF"/>
        </w:rPr>
        <w:t xml:space="preserve"> piektā daļa paredz deleģējumu Ministru kabinetam izstrādāt - </w:t>
      </w:r>
      <w:r>
        <w:rPr>
          <w:i/>
          <w:iCs/>
          <w:color w:val="000000"/>
          <w:shd w:val="clear" w:color="auto" w:fill="FFFFFF"/>
        </w:rPr>
        <w:t>nosacījumus un metodiku elektroenerģijas ražošanai no atjaunojamiem energoresursiem vai koģenerācijā nepamatoti vai nelikumīgi saņemtā valsts atbalsta atgūšanai un ar minēto deleģējumu</w:t>
      </w:r>
      <w:r>
        <w:rPr>
          <w:color w:val="000000"/>
          <w:shd w:val="clear" w:color="auto" w:fill="FFFFFF"/>
        </w:rPr>
        <w:t>, tad minēt</w:t>
      </w:r>
      <w:r w:rsidR="009F1B8D">
        <w:rPr>
          <w:color w:val="000000"/>
          <w:shd w:val="clear" w:color="auto" w:fill="FFFFFF"/>
        </w:rPr>
        <w:t>aj</w:t>
      </w:r>
      <w:r>
        <w:rPr>
          <w:color w:val="000000"/>
          <w:shd w:val="clear" w:color="auto" w:fill="FFFFFF"/>
        </w:rPr>
        <w:t xml:space="preserve">ā kārtībā ir jāietver arī nosacījumi, kas attiecināmi uz ražotājiem, kas izmanto šo pārejas noteikumu 52. punktā minētās tiesības. Vēršam uzmanību, ka Ministru kabineta 2020.gada 2.septembra noteikumi Nr.560 “Noteikumi par elektroenerģijas ražošanu, izmantojot atjaunojamos energoresursus, kā arī par cenu noteikšanas kārtību un uzraudzību” ir izdoti saskaņā ar ETL </w:t>
      </w:r>
      <w:hyperlink r:id="rId14" w:anchor="p31.2" w:history="1">
        <w:r>
          <w:rPr>
            <w:rStyle w:val="Hyperlink"/>
            <w:color w:val="000000"/>
            <w:shd w:val="clear" w:color="auto" w:fill="FFFFFF"/>
          </w:rPr>
          <w:t>31.</w:t>
        </w:r>
        <w:r>
          <w:rPr>
            <w:rStyle w:val="Hyperlink"/>
            <w:color w:val="000000"/>
            <w:shd w:val="clear" w:color="auto" w:fill="FFFFFF"/>
            <w:vertAlign w:val="superscript"/>
          </w:rPr>
          <w:t>2</w:t>
        </w:r>
        <w:r>
          <w:rPr>
            <w:rStyle w:val="Hyperlink"/>
            <w:color w:val="000000"/>
            <w:shd w:val="clear" w:color="auto" w:fill="FFFFFF"/>
          </w:rPr>
          <w:t> panta</w:t>
        </w:r>
      </w:hyperlink>
      <w:r>
        <w:rPr>
          <w:color w:val="000000"/>
          <w:shd w:val="clear" w:color="auto" w:fill="FFFFFF"/>
        </w:rPr>
        <w:t xml:space="preserve"> piekto daļu, līdz ar to šis ir tas normatīvais akts, kurā ir jābūt ietvertai kārtībai, kas attiec</w:t>
      </w:r>
      <w:r w:rsidR="009F1B8D">
        <w:rPr>
          <w:color w:val="000000"/>
          <w:shd w:val="clear" w:color="auto" w:fill="FFFFFF"/>
        </w:rPr>
        <w:t>a</w:t>
      </w:r>
      <w:r>
        <w:rPr>
          <w:color w:val="000000"/>
          <w:shd w:val="clear" w:color="auto" w:fill="FFFFFF"/>
        </w:rPr>
        <w:t xml:space="preserve">s arī uz ražotājiem, kas izmanto šo pārejas noteikumu 52. punktā minētās tiesības. Vienlaikus vēršam uzmanību, ka tādējādi arī tiek nodrošināta atbilstība Eiropas Komisijas lēmuma SA.43140 16.punktam, jo </w:t>
      </w:r>
      <w:r>
        <w:rPr>
          <w:color w:val="000000"/>
        </w:rPr>
        <w:t xml:space="preserve">shēmas ietvaros sniegtais atbalsts tiek piešķirts arī elektroenerģijai, kas saražota sauszemes vēja turbīnās (sk. </w:t>
      </w:r>
      <w:r>
        <w:rPr>
          <w:color w:val="000000"/>
          <w:shd w:val="clear" w:color="auto" w:fill="FFFFFF"/>
        </w:rPr>
        <w:t xml:space="preserve">Eiropas Komisijas lēmuma SA.43140 8.punktu un notifikācijā Eiropas Komisijai sniegto informāciju attiecībā uz atbalstu elektroenerģijas ražotājiem izmantojot vēja turbīnas). </w:t>
      </w:r>
      <w:r>
        <w:rPr>
          <w:color w:val="000000"/>
        </w:rPr>
        <w:t xml:space="preserve">Lūdzam precizēt atbilstoši noteikumu projekta 3.punktu, kā arī precizēt anotācijā ietverto attiecīgo informāciju. </w:t>
      </w:r>
    </w:p>
    <w:p w14:paraId="26CF361E" w14:textId="5949C250" w:rsidR="00C53D4E" w:rsidRDefault="00C53D4E" w:rsidP="00C53D4E">
      <w:pPr>
        <w:numPr>
          <w:ilvl w:val="0"/>
          <w:numId w:val="1"/>
        </w:numPr>
        <w:tabs>
          <w:tab w:val="left" w:pos="851"/>
        </w:tabs>
        <w:spacing w:line="252" w:lineRule="auto"/>
        <w:ind w:left="0" w:firstLine="567"/>
      </w:pPr>
      <w:r>
        <w:rPr>
          <w:color w:val="000000"/>
          <w:shd w:val="clear" w:color="auto" w:fill="FFFFFF"/>
        </w:rPr>
        <w:lastRenderedPageBreak/>
        <w:t>Uzturam iepriekš Finanšu ministrijas izteikto iebildumu</w:t>
      </w:r>
      <w:r>
        <w:rPr>
          <w:color w:val="1F497D"/>
          <w:shd w:val="clear" w:color="auto" w:fill="FFFFFF"/>
        </w:rPr>
        <w:t xml:space="preserve"> </w:t>
      </w:r>
      <w:r>
        <w:rPr>
          <w:color w:val="000000"/>
          <w:shd w:val="clear" w:color="auto" w:fill="FFFFFF"/>
        </w:rPr>
        <w:t xml:space="preserve">(izziņas 2.punkts) par nosacījuma par </w:t>
      </w:r>
      <w:r>
        <w:rPr>
          <w:color w:val="000000"/>
        </w:rPr>
        <w:t xml:space="preserve">koģenerācijas iekārtu atbilstību </w:t>
      </w:r>
      <w:r>
        <w:rPr>
          <w:color w:val="000000"/>
          <w:u w:val="single"/>
        </w:rPr>
        <w:t>augstas efektivitātes koģenerācijas definīcijai ietveršanu noteikumu projektā</w:t>
      </w:r>
      <w:r>
        <w:rPr>
          <w:color w:val="000000"/>
          <w:shd w:val="clear" w:color="auto" w:fill="FFFFFF"/>
        </w:rPr>
        <w:t xml:space="preserve">.  Vēršam uzmanību, ka valsts atbalsta nosacījumi pieļauj darbības atbalstu </w:t>
      </w:r>
      <w:r>
        <w:rPr>
          <w:color w:val="000000"/>
          <w:u w:val="single"/>
          <w:shd w:val="clear" w:color="auto" w:fill="FFFFFF"/>
        </w:rPr>
        <w:t>tikai un vienīgi</w:t>
      </w:r>
      <w:r>
        <w:rPr>
          <w:color w:val="000000"/>
          <w:shd w:val="clear" w:color="auto" w:fill="FFFFFF"/>
        </w:rPr>
        <w:t xml:space="preserve"> </w:t>
      </w:r>
      <w:r>
        <w:rPr>
          <w:color w:val="000000"/>
        </w:rPr>
        <w:t xml:space="preserve">koģenerācijai, ja koģenerācijas iekārta atbilst </w:t>
      </w:r>
      <w:r>
        <w:rPr>
          <w:color w:val="000000"/>
          <w:u w:val="single"/>
        </w:rPr>
        <w:t>augstas efektivitātes koģenerācijas definīcijai, proti, tā</w:t>
      </w:r>
      <w:r>
        <w:rPr>
          <w:color w:val="000000"/>
          <w:shd w:val="clear" w:color="auto" w:fill="FFFFFF"/>
        </w:rPr>
        <w:t xml:space="preserve"> “</w:t>
      </w:r>
      <w:r>
        <w:rPr>
          <w:i/>
          <w:iCs/>
          <w:color w:val="000000"/>
          <w:shd w:val="clear" w:color="auto" w:fill="FFFFFF"/>
        </w:rPr>
        <w:t>ir koģenerācija, kas atbilst Direktīvas 2004/8/EK, III pielikumā noteiktajiem kritērijiem, kā arī saskaņotajām efektivitātes atskaites vērtībām, kas noteiktas Komisijas 2006. gada 21. decembra Lēmumā 2007/74/EK par saskaņotu efektivitātes atskaites vērtību noteikšanu atsevišķai elektroenerģijas un siltuma ražošanai, piemērojot Eiropas Parlamenta un Padomes Direktīvu 2004/8/EK</w:t>
      </w:r>
      <w:r>
        <w:rPr>
          <w:color w:val="000000"/>
        </w:rPr>
        <w:t>” (sk. Pamatnostādņu (2008)</w:t>
      </w:r>
      <w:r>
        <w:rPr>
          <w:color w:val="000000"/>
          <w:vertAlign w:val="superscript"/>
        </w:rPr>
        <w:footnoteReference w:customMarkFollows="1" w:id="1"/>
        <w:t>[2]</w:t>
      </w:r>
      <w:r>
        <w:rPr>
          <w:color w:val="000000"/>
        </w:rPr>
        <w:t xml:space="preserve"> 107., 109. un 119.punktu, kā arī EK lēmuma SA.43140 70. un 80.punktu). Arī ETL ietver atsauci uz augstāk minēto direktīvu. Turklāt Ekonomikas ministrija, paziņojot atbalsta shēmu Eiropas Komisijai</w:t>
      </w:r>
      <w:r w:rsidR="009F1B8D">
        <w:rPr>
          <w:color w:val="000000"/>
        </w:rPr>
        <w:t>,</w:t>
      </w:r>
      <w:r>
        <w:rPr>
          <w:color w:val="000000"/>
        </w:rPr>
        <w:t xml:space="preserve"> un</w:t>
      </w:r>
      <w:r w:rsidR="009F1B8D">
        <w:rPr>
          <w:color w:val="000000"/>
        </w:rPr>
        <w:t>,</w:t>
      </w:r>
      <w:r>
        <w:rPr>
          <w:color w:val="000000"/>
        </w:rPr>
        <w:t xml:space="preserve"> veicot tās </w:t>
      </w:r>
      <w:proofErr w:type="spellStart"/>
      <w:r>
        <w:rPr>
          <w:color w:val="000000"/>
        </w:rPr>
        <w:t>izvērtējumu</w:t>
      </w:r>
      <w:proofErr w:type="spellEnd"/>
      <w:r>
        <w:rPr>
          <w:color w:val="000000"/>
        </w:rPr>
        <w:t xml:space="preserve"> atbilstoši Pamatnostādņu (2008), ir skaidri nodalījusi atbalstu, kas sniegts saskaņā ar Pamatnostādņu (2008) </w:t>
      </w:r>
      <w:r>
        <w:rPr>
          <w:b/>
          <w:bCs/>
        </w:rPr>
        <w:t>3.1.6.2. sadaļu “</w:t>
      </w:r>
      <w:proofErr w:type="spellStart"/>
      <w:r>
        <w:rPr>
          <w:b/>
          <w:bCs/>
          <w:i/>
          <w:iCs/>
        </w:rPr>
        <w:t>Operating</w:t>
      </w:r>
      <w:proofErr w:type="spellEnd"/>
      <w:r>
        <w:rPr>
          <w:b/>
          <w:bCs/>
          <w:i/>
          <w:iCs/>
        </w:rPr>
        <w:t xml:space="preserve"> aid</w:t>
      </w:r>
      <w:r>
        <w:rPr>
          <w:b/>
          <w:bCs/>
        </w:rPr>
        <w:t xml:space="preserve">”, kur notifikācijas </w:t>
      </w:r>
      <w:proofErr w:type="spellStart"/>
      <w:r>
        <w:rPr>
          <w:b/>
          <w:bCs/>
        </w:rPr>
        <w:t>Annex</w:t>
      </w:r>
      <w:proofErr w:type="spellEnd"/>
      <w:r>
        <w:rPr>
          <w:b/>
          <w:bCs/>
        </w:rPr>
        <w:t xml:space="preserve"> VI minēts: “</w:t>
      </w:r>
      <w:proofErr w:type="spellStart"/>
      <w:r>
        <w:rPr>
          <w:i/>
          <w:iCs/>
        </w:rPr>
        <w:t>The</w:t>
      </w:r>
      <w:proofErr w:type="spellEnd"/>
      <w:r>
        <w:rPr>
          <w:i/>
          <w:iCs/>
        </w:rPr>
        <w:t xml:space="preserve"> </w:t>
      </w:r>
      <w:proofErr w:type="spellStart"/>
      <w:r>
        <w:rPr>
          <w:i/>
          <w:iCs/>
        </w:rPr>
        <w:t>introduced</w:t>
      </w:r>
      <w:proofErr w:type="spellEnd"/>
      <w:r>
        <w:rPr>
          <w:i/>
          <w:iCs/>
        </w:rPr>
        <w:t xml:space="preserve"> aid </w:t>
      </w:r>
      <w:proofErr w:type="spellStart"/>
      <w:r>
        <w:rPr>
          <w:i/>
          <w:iCs/>
        </w:rPr>
        <w:t>mechanism</w:t>
      </w:r>
      <w:proofErr w:type="spellEnd"/>
      <w:r>
        <w:rPr>
          <w:i/>
          <w:iCs/>
        </w:rPr>
        <w:t xml:space="preserve"> </w:t>
      </w:r>
      <w:proofErr w:type="spellStart"/>
      <w:r>
        <w:rPr>
          <w:i/>
          <w:iCs/>
        </w:rPr>
        <w:t>is</w:t>
      </w:r>
      <w:proofErr w:type="spellEnd"/>
      <w:r>
        <w:rPr>
          <w:i/>
          <w:iCs/>
        </w:rPr>
        <w:t xml:space="preserve"> </w:t>
      </w:r>
      <w:proofErr w:type="spellStart"/>
      <w:r>
        <w:rPr>
          <w:i/>
          <w:iCs/>
        </w:rPr>
        <w:t>designed</w:t>
      </w:r>
      <w:proofErr w:type="spellEnd"/>
      <w:r>
        <w:rPr>
          <w:i/>
          <w:iCs/>
        </w:rPr>
        <w:t xml:space="preserve"> to </w:t>
      </w:r>
      <w:proofErr w:type="spellStart"/>
      <w:r>
        <w:rPr>
          <w:i/>
          <w:iCs/>
        </w:rPr>
        <w:t>cover</w:t>
      </w:r>
      <w:proofErr w:type="spellEnd"/>
      <w:r>
        <w:rPr>
          <w:i/>
          <w:iCs/>
        </w:rPr>
        <w:t xml:space="preserve"> </w:t>
      </w:r>
      <w:proofErr w:type="spellStart"/>
      <w:r>
        <w:rPr>
          <w:i/>
          <w:iCs/>
        </w:rPr>
        <w:t>the</w:t>
      </w:r>
      <w:proofErr w:type="spellEnd"/>
      <w:r>
        <w:rPr>
          <w:i/>
          <w:iCs/>
        </w:rPr>
        <w:t xml:space="preserve"> </w:t>
      </w:r>
      <w:proofErr w:type="spellStart"/>
      <w:r>
        <w:rPr>
          <w:i/>
          <w:iCs/>
        </w:rPr>
        <w:t>difference</w:t>
      </w:r>
      <w:proofErr w:type="spellEnd"/>
      <w:r>
        <w:rPr>
          <w:i/>
          <w:iCs/>
        </w:rPr>
        <w:t xml:space="preserve"> </w:t>
      </w:r>
      <w:proofErr w:type="spellStart"/>
      <w:r>
        <w:rPr>
          <w:i/>
          <w:iCs/>
        </w:rPr>
        <w:t>between</w:t>
      </w:r>
      <w:proofErr w:type="spellEnd"/>
      <w:r>
        <w:rPr>
          <w:i/>
          <w:iCs/>
        </w:rPr>
        <w:t xml:space="preserve"> </w:t>
      </w:r>
      <w:proofErr w:type="spellStart"/>
      <w:r>
        <w:rPr>
          <w:i/>
          <w:iCs/>
        </w:rPr>
        <w:t>the</w:t>
      </w:r>
      <w:proofErr w:type="spellEnd"/>
      <w:r>
        <w:rPr>
          <w:i/>
          <w:iCs/>
        </w:rPr>
        <w:t xml:space="preserve"> </w:t>
      </w:r>
      <w:proofErr w:type="spellStart"/>
      <w:r>
        <w:rPr>
          <w:i/>
          <w:iCs/>
        </w:rPr>
        <w:t>costs</w:t>
      </w:r>
      <w:proofErr w:type="spellEnd"/>
      <w:r>
        <w:rPr>
          <w:i/>
          <w:iCs/>
        </w:rPr>
        <w:t xml:space="preserve"> </w:t>
      </w:r>
      <w:proofErr w:type="spellStart"/>
      <w:r>
        <w:rPr>
          <w:i/>
          <w:iCs/>
        </w:rPr>
        <w:t>of</w:t>
      </w:r>
      <w:proofErr w:type="spellEnd"/>
      <w:r>
        <w:rPr>
          <w:i/>
          <w:iCs/>
        </w:rPr>
        <w:t xml:space="preserve"> </w:t>
      </w:r>
      <w:proofErr w:type="spellStart"/>
      <w:r>
        <w:rPr>
          <w:i/>
          <w:iCs/>
        </w:rPr>
        <w:t>energy</w:t>
      </w:r>
      <w:proofErr w:type="spellEnd"/>
      <w:r>
        <w:rPr>
          <w:i/>
          <w:iCs/>
        </w:rPr>
        <w:t xml:space="preserve"> </w:t>
      </w:r>
      <w:proofErr w:type="spellStart"/>
      <w:r>
        <w:rPr>
          <w:i/>
          <w:iCs/>
        </w:rPr>
        <w:t>production</w:t>
      </w:r>
      <w:proofErr w:type="spellEnd"/>
      <w:r>
        <w:rPr>
          <w:i/>
          <w:iCs/>
        </w:rPr>
        <w:t xml:space="preserve"> </w:t>
      </w:r>
      <w:proofErr w:type="spellStart"/>
      <w:r>
        <w:rPr>
          <w:i/>
          <w:iCs/>
        </w:rPr>
        <w:t>by</w:t>
      </w:r>
      <w:proofErr w:type="spellEnd"/>
      <w:r>
        <w:rPr>
          <w:i/>
          <w:iCs/>
        </w:rPr>
        <w:t xml:space="preserve"> </w:t>
      </w:r>
      <w:proofErr w:type="spellStart"/>
      <w:r>
        <w:rPr>
          <w:i/>
          <w:iCs/>
        </w:rPr>
        <w:t>using</w:t>
      </w:r>
      <w:proofErr w:type="spellEnd"/>
      <w:r>
        <w:rPr>
          <w:i/>
          <w:iCs/>
        </w:rPr>
        <w:t xml:space="preserve"> RES </w:t>
      </w:r>
      <w:proofErr w:type="spellStart"/>
      <w:r>
        <w:rPr>
          <w:i/>
          <w:iCs/>
          <w:u w:val="single"/>
        </w:rPr>
        <w:t>or</w:t>
      </w:r>
      <w:proofErr w:type="spellEnd"/>
      <w:r>
        <w:rPr>
          <w:i/>
          <w:iCs/>
          <w:u w:val="single"/>
        </w:rPr>
        <w:t xml:space="preserve"> </w:t>
      </w:r>
      <w:proofErr w:type="spellStart"/>
      <w:r>
        <w:rPr>
          <w:i/>
          <w:iCs/>
          <w:u w:val="single"/>
        </w:rPr>
        <w:t>in</w:t>
      </w:r>
      <w:proofErr w:type="spellEnd"/>
      <w:r>
        <w:rPr>
          <w:i/>
          <w:iCs/>
          <w:u w:val="single"/>
        </w:rPr>
        <w:t xml:space="preserve"> </w:t>
      </w:r>
      <w:proofErr w:type="spellStart"/>
      <w:r>
        <w:rPr>
          <w:i/>
          <w:iCs/>
          <w:u w:val="single"/>
        </w:rPr>
        <w:t>high</w:t>
      </w:r>
      <w:proofErr w:type="spellEnd"/>
      <w:r>
        <w:rPr>
          <w:i/>
          <w:iCs/>
          <w:u w:val="single"/>
        </w:rPr>
        <w:t xml:space="preserve"> </w:t>
      </w:r>
      <w:proofErr w:type="spellStart"/>
      <w:r>
        <w:rPr>
          <w:i/>
          <w:iCs/>
          <w:u w:val="single"/>
        </w:rPr>
        <w:t>efficient</w:t>
      </w:r>
      <w:proofErr w:type="spellEnd"/>
      <w:r>
        <w:rPr>
          <w:i/>
          <w:iCs/>
          <w:u w:val="single"/>
        </w:rPr>
        <w:t xml:space="preserve"> </w:t>
      </w:r>
      <w:proofErr w:type="spellStart"/>
      <w:r>
        <w:rPr>
          <w:i/>
          <w:iCs/>
          <w:u w:val="single"/>
        </w:rPr>
        <w:t>cogeneration</w:t>
      </w:r>
      <w:proofErr w:type="spellEnd"/>
      <w:r>
        <w:rPr>
          <w:i/>
          <w:iCs/>
        </w:rPr>
        <w:t xml:space="preserve"> </w:t>
      </w:r>
      <w:proofErr w:type="spellStart"/>
      <w:r>
        <w:rPr>
          <w:i/>
          <w:iCs/>
        </w:rPr>
        <w:t>and</w:t>
      </w:r>
      <w:proofErr w:type="spellEnd"/>
      <w:r>
        <w:rPr>
          <w:i/>
          <w:iCs/>
        </w:rPr>
        <w:t xml:space="preserve"> </w:t>
      </w:r>
      <w:proofErr w:type="spellStart"/>
      <w:r>
        <w:rPr>
          <w:i/>
          <w:iCs/>
        </w:rPr>
        <w:t>the</w:t>
      </w:r>
      <w:proofErr w:type="spellEnd"/>
      <w:r>
        <w:rPr>
          <w:i/>
          <w:iCs/>
        </w:rPr>
        <w:t xml:space="preserve"> </w:t>
      </w:r>
      <w:proofErr w:type="spellStart"/>
      <w:r>
        <w:rPr>
          <w:i/>
          <w:iCs/>
        </w:rPr>
        <w:t>market</w:t>
      </w:r>
      <w:proofErr w:type="spellEnd"/>
      <w:r>
        <w:rPr>
          <w:i/>
          <w:iCs/>
        </w:rPr>
        <w:t xml:space="preserve"> </w:t>
      </w:r>
      <w:proofErr w:type="spellStart"/>
      <w:r>
        <w:rPr>
          <w:i/>
          <w:iCs/>
        </w:rPr>
        <w:t>price</w:t>
      </w:r>
      <w:proofErr w:type="spellEnd"/>
      <w:r>
        <w:rPr>
          <w:i/>
          <w:iCs/>
        </w:rPr>
        <w:t xml:space="preserve"> </w:t>
      </w:r>
      <w:proofErr w:type="spellStart"/>
      <w:r>
        <w:rPr>
          <w:i/>
          <w:iCs/>
        </w:rPr>
        <w:t>of</w:t>
      </w:r>
      <w:proofErr w:type="spellEnd"/>
      <w:r>
        <w:rPr>
          <w:i/>
          <w:iCs/>
        </w:rPr>
        <w:t xml:space="preserve"> </w:t>
      </w:r>
      <w:proofErr w:type="spellStart"/>
      <w:r>
        <w:rPr>
          <w:i/>
          <w:iCs/>
        </w:rPr>
        <w:t>energy</w:t>
      </w:r>
      <w:proofErr w:type="spellEnd"/>
      <w:r>
        <w:t xml:space="preserve">” (t.i. nosaka </w:t>
      </w:r>
      <w:r>
        <w:rPr>
          <w:color w:val="000000"/>
        </w:rPr>
        <w:t xml:space="preserve">koģenerācijas iekārtu atbilstību </w:t>
      </w:r>
      <w:r>
        <w:rPr>
          <w:color w:val="000000"/>
          <w:u w:val="single"/>
        </w:rPr>
        <w:t>augstas efektivitātes koģenerācijas definīcijai)</w:t>
      </w:r>
      <w:r>
        <w:t xml:space="preserve"> no </w:t>
      </w:r>
      <w:r>
        <w:rPr>
          <w:color w:val="000000"/>
        </w:rPr>
        <w:t xml:space="preserve">atbalsta, kas sniegts saskaņā ar Pamatnostādņu (2008) </w:t>
      </w:r>
      <w:r>
        <w:rPr>
          <w:b/>
          <w:bCs/>
        </w:rPr>
        <w:t>3.1.7.sadaļu “</w:t>
      </w:r>
      <w:r>
        <w:rPr>
          <w:b/>
          <w:bCs/>
          <w:i/>
          <w:iCs/>
        </w:rPr>
        <w:t xml:space="preserve">Aid </w:t>
      </w:r>
      <w:proofErr w:type="spellStart"/>
      <w:r>
        <w:rPr>
          <w:b/>
          <w:bCs/>
          <w:i/>
          <w:iCs/>
        </w:rPr>
        <w:t>for</w:t>
      </w:r>
      <w:proofErr w:type="spellEnd"/>
      <w:r>
        <w:rPr>
          <w:b/>
          <w:bCs/>
          <w:i/>
          <w:iCs/>
        </w:rPr>
        <w:t xml:space="preserve"> </w:t>
      </w:r>
      <w:proofErr w:type="spellStart"/>
      <w:r>
        <w:rPr>
          <w:b/>
          <w:bCs/>
          <w:i/>
          <w:iCs/>
        </w:rPr>
        <w:t>cogeneration</w:t>
      </w:r>
      <w:proofErr w:type="spellEnd"/>
      <w:r>
        <w:rPr>
          <w:b/>
          <w:bCs/>
        </w:rPr>
        <w:t xml:space="preserve">”, kas arī nosaka </w:t>
      </w:r>
      <w:r>
        <w:rPr>
          <w:color w:val="000000"/>
        </w:rPr>
        <w:t>koģenerācijas iekārtu atbilstību augstas efektivitātes koģenerācijas definīcijai</w:t>
      </w:r>
      <w:r>
        <w:rPr>
          <w:b/>
          <w:bCs/>
        </w:rPr>
        <w:t>. Vienlaikus arī notifikācijas I pielikumā kā atbalsta saņēmēji norādīti “</w:t>
      </w:r>
      <w:r>
        <w:rPr>
          <w:i/>
          <w:iCs/>
        </w:rPr>
        <w:t xml:space="preserve">Aid </w:t>
      </w:r>
      <w:proofErr w:type="spellStart"/>
      <w:r>
        <w:rPr>
          <w:i/>
          <w:iCs/>
        </w:rPr>
        <w:t>beneficiaries</w:t>
      </w:r>
      <w:proofErr w:type="spellEnd"/>
      <w:r>
        <w:rPr>
          <w:i/>
          <w:iCs/>
        </w:rPr>
        <w:t xml:space="preserve"> </w:t>
      </w:r>
      <w:proofErr w:type="spellStart"/>
      <w:r>
        <w:rPr>
          <w:i/>
          <w:iCs/>
        </w:rPr>
        <w:t>are</w:t>
      </w:r>
      <w:proofErr w:type="spellEnd"/>
      <w:r>
        <w:rPr>
          <w:i/>
          <w:iCs/>
        </w:rPr>
        <w:t xml:space="preserve"> </w:t>
      </w:r>
      <w:proofErr w:type="spellStart"/>
      <w:r>
        <w:rPr>
          <w:i/>
          <w:iCs/>
        </w:rPr>
        <w:t>such</w:t>
      </w:r>
      <w:proofErr w:type="spellEnd"/>
      <w:r>
        <w:rPr>
          <w:i/>
          <w:iCs/>
        </w:rPr>
        <w:t xml:space="preserve"> </w:t>
      </w:r>
      <w:proofErr w:type="spellStart"/>
      <w:r>
        <w:rPr>
          <w:i/>
          <w:iCs/>
        </w:rPr>
        <w:t>merchants</w:t>
      </w:r>
      <w:proofErr w:type="spellEnd"/>
      <w:r>
        <w:rPr>
          <w:i/>
          <w:iCs/>
        </w:rPr>
        <w:t xml:space="preserve"> </w:t>
      </w:r>
      <w:proofErr w:type="spellStart"/>
      <w:r>
        <w:rPr>
          <w:i/>
          <w:iCs/>
        </w:rPr>
        <w:t>that</w:t>
      </w:r>
      <w:proofErr w:type="spellEnd"/>
      <w:r>
        <w:rPr>
          <w:i/>
          <w:iCs/>
        </w:rPr>
        <w:t xml:space="preserve"> </w:t>
      </w:r>
      <w:proofErr w:type="spellStart"/>
      <w:r>
        <w:rPr>
          <w:i/>
          <w:iCs/>
        </w:rPr>
        <w:t>produce</w:t>
      </w:r>
      <w:proofErr w:type="spellEnd"/>
      <w:r>
        <w:rPr>
          <w:i/>
          <w:iCs/>
        </w:rPr>
        <w:t xml:space="preserve"> </w:t>
      </w:r>
      <w:proofErr w:type="spellStart"/>
      <w:r>
        <w:rPr>
          <w:i/>
          <w:iCs/>
        </w:rPr>
        <w:t>electricity</w:t>
      </w:r>
      <w:proofErr w:type="spellEnd"/>
      <w:r>
        <w:rPr>
          <w:i/>
          <w:iCs/>
        </w:rPr>
        <w:t xml:space="preserve"> </w:t>
      </w:r>
      <w:proofErr w:type="spellStart"/>
      <w:r>
        <w:rPr>
          <w:i/>
          <w:iCs/>
        </w:rPr>
        <w:t>from</w:t>
      </w:r>
      <w:proofErr w:type="spellEnd"/>
      <w:r>
        <w:rPr>
          <w:i/>
          <w:iCs/>
        </w:rPr>
        <w:t xml:space="preserve"> RES, </w:t>
      </w:r>
      <w:proofErr w:type="spellStart"/>
      <w:r>
        <w:rPr>
          <w:i/>
          <w:iCs/>
        </w:rPr>
        <w:t>as</w:t>
      </w:r>
      <w:proofErr w:type="spellEnd"/>
      <w:r>
        <w:rPr>
          <w:i/>
          <w:iCs/>
        </w:rPr>
        <w:t xml:space="preserve"> </w:t>
      </w:r>
      <w:proofErr w:type="spellStart"/>
      <w:r>
        <w:rPr>
          <w:i/>
          <w:iCs/>
        </w:rPr>
        <w:t>well</w:t>
      </w:r>
      <w:proofErr w:type="spellEnd"/>
      <w:r>
        <w:rPr>
          <w:i/>
          <w:iCs/>
        </w:rPr>
        <w:t xml:space="preserve"> </w:t>
      </w:r>
      <w:proofErr w:type="spellStart"/>
      <w:r>
        <w:rPr>
          <w:i/>
          <w:iCs/>
        </w:rPr>
        <w:t>as</w:t>
      </w:r>
      <w:proofErr w:type="spellEnd"/>
      <w:r>
        <w:rPr>
          <w:i/>
          <w:iCs/>
        </w:rPr>
        <w:t xml:space="preserve"> </w:t>
      </w:r>
      <w:proofErr w:type="spellStart"/>
      <w:r>
        <w:rPr>
          <w:i/>
          <w:iCs/>
        </w:rPr>
        <w:t>in</w:t>
      </w:r>
      <w:proofErr w:type="spellEnd"/>
      <w:r>
        <w:rPr>
          <w:i/>
          <w:iCs/>
        </w:rPr>
        <w:t xml:space="preserve"> </w:t>
      </w:r>
      <w:proofErr w:type="spellStart"/>
      <w:r>
        <w:rPr>
          <w:i/>
          <w:iCs/>
          <w:u w:val="single"/>
        </w:rPr>
        <w:t>high</w:t>
      </w:r>
      <w:proofErr w:type="spellEnd"/>
      <w:r>
        <w:rPr>
          <w:i/>
          <w:iCs/>
          <w:u w:val="single"/>
        </w:rPr>
        <w:t xml:space="preserve"> </w:t>
      </w:r>
      <w:proofErr w:type="spellStart"/>
      <w:r>
        <w:rPr>
          <w:i/>
          <w:iCs/>
          <w:u w:val="single"/>
        </w:rPr>
        <w:t>efficient</w:t>
      </w:r>
      <w:proofErr w:type="spellEnd"/>
      <w:r>
        <w:rPr>
          <w:i/>
          <w:iCs/>
          <w:u w:val="single"/>
        </w:rPr>
        <w:t xml:space="preserve"> </w:t>
      </w:r>
      <w:proofErr w:type="spellStart"/>
      <w:r>
        <w:rPr>
          <w:i/>
          <w:iCs/>
          <w:u w:val="single"/>
        </w:rPr>
        <w:t>cogeneration</w:t>
      </w:r>
      <w:proofErr w:type="spellEnd"/>
      <w:r>
        <w:rPr>
          <w:i/>
          <w:iCs/>
          <w:u w:val="single"/>
        </w:rPr>
        <w:t xml:space="preserve"> </w:t>
      </w:r>
      <w:proofErr w:type="spellStart"/>
      <w:r>
        <w:rPr>
          <w:i/>
          <w:iCs/>
          <w:u w:val="single"/>
        </w:rPr>
        <w:t>by</w:t>
      </w:r>
      <w:proofErr w:type="spellEnd"/>
      <w:r>
        <w:rPr>
          <w:i/>
          <w:iCs/>
          <w:u w:val="single"/>
        </w:rPr>
        <w:t xml:space="preserve"> </w:t>
      </w:r>
      <w:proofErr w:type="spellStart"/>
      <w:r>
        <w:rPr>
          <w:i/>
          <w:iCs/>
          <w:u w:val="single"/>
        </w:rPr>
        <w:t>using</w:t>
      </w:r>
      <w:proofErr w:type="spellEnd"/>
      <w:r>
        <w:rPr>
          <w:i/>
          <w:iCs/>
          <w:u w:val="single"/>
        </w:rPr>
        <w:t xml:space="preserve"> </w:t>
      </w:r>
      <w:proofErr w:type="spellStart"/>
      <w:r>
        <w:rPr>
          <w:i/>
          <w:iCs/>
          <w:u w:val="single"/>
        </w:rPr>
        <w:t>biomass</w:t>
      </w:r>
      <w:proofErr w:type="spellEnd"/>
      <w:r>
        <w:rPr>
          <w:i/>
          <w:iCs/>
          <w:u w:val="single"/>
        </w:rPr>
        <w:t xml:space="preserve"> </w:t>
      </w:r>
      <w:proofErr w:type="spellStart"/>
      <w:r>
        <w:rPr>
          <w:i/>
          <w:iCs/>
          <w:u w:val="single"/>
        </w:rPr>
        <w:t>or</w:t>
      </w:r>
      <w:proofErr w:type="spellEnd"/>
      <w:r>
        <w:rPr>
          <w:i/>
          <w:iCs/>
          <w:u w:val="single"/>
        </w:rPr>
        <w:t xml:space="preserve"> </w:t>
      </w:r>
      <w:proofErr w:type="spellStart"/>
      <w:r>
        <w:rPr>
          <w:i/>
          <w:iCs/>
          <w:u w:val="single"/>
        </w:rPr>
        <w:t>biogas</w:t>
      </w:r>
      <w:proofErr w:type="spellEnd"/>
      <w:r>
        <w:rPr>
          <w:i/>
          <w:iCs/>
        </w:rPr>
        <w:t xml:space="preserve">, </w:t>
      </w:r>
      <w:proofErr w:type="spellStart"/>
      <w:r>
        <w:rPr>
          <w:i/>
          <w:iCs/>
        </w:rPr>
        <w:t>or</w:t>
      </w:r>
      <w:proofErr w:type="spellEnd"/>
      <w:r>
        <w:rPr>
          <w:i/>
          <w:iCs/>
        </w:rPr>
        <w:t xml:space="preserve"> </w:t>
      </w:r>
      <w:proofErr w:type="spellStart"/>
      <w:r>
        <w:rPr>
          <w:i/>
          <w:iCs/>
        </w:rPr>
        <w:t>fossil</w:t>
      </w:r>
      <w:proofErr w:type="spellEnd"/>
      <w:r>
        <w:rPr>
          <w:i/>
          <w:iCs/>
        </w:rPr>
        <w:t xml:space="preserve"> </w:t>
      </w:r>
      <w:proofErr w:type="spellStart"/>
      <w:r>
        <w:rPr>
          <w:i/>
          <w:iCs/>
        </w:rPr>
        <w:t>energy</w:t>
      </w:r>
      <w:proofErr w:type="spellEnd"/>
      <w:r>
        <w:rPr>
          <w:i/>
          <w:iCs/>
        </w:rPr>
        <w:t xml:space="preserve"> </w:t>
      </w:r>
      <w:proofErr w:type="spellStart"/>
      <w:r>
        <w:rPr>
          <w:i/>
          <w:iCs/>
        </w:rPr>
        <w:t>resources</w:t>
      </w:r>
      <w:proofErr w:type="spellEnd"/>
      <w:r>
        <w:rPr>
          <w:i/>
          <w:iCs/>
        </w:rPr>
        <w:t xml:space="preserve"> (</w:t>
      </w:r>
      <w:proofErr w:type="spellStart"/>
      <w:r>
        <w:rPr>
          <w:i/>
          <w:iCs/>
        </w:rPr>
        <w:t>natural</w:t>
      </w:r>
      <w:proofErr w:type="spellEnd"/>
      <w:r>
        <w:rPr>
          <w:i/>
          <w:iCs/>
        </w:rPr>
        <w:t xml:space="preserve"> </w:t>
      </w:r>
      <w:proofErr w:type="spellStart"/>
      <w:r>
        <w:rPr>
          <w:i/>
          <w:iCs/>
        </w:rPr>
        <w:t>gas</w:t>
      </w:r>
      <w:proofErr w:type="spellEnd"/>
      <w:r>
        <w:rPr>
          <w:i/>
          <w:iCs/>
        </w:rPr>
        <w:t>) [..]</w:t>
      </w:r>
      <w:r>
        <w:t>”.</w:t>
      </w:r>
    </w:p>
    <w:p w14:paraId="765BDA30" w14:textId="7DB05073" w:rsidR="00C53D4E" w:rsidRDefault="00C53D4E" w:rsidP="00C53D4E">
      <w:pPr>
        <w:shd w:val="clear" w:color="auto" w:fill="FFFFFF"/>
        <w:tabs>
          <w:tab w:val="left" w:pos="567"/>
        </w:tabs>
        <w:autoSpaceDN w:val="0"/>
        <w:spacing w:line="252" w:lineRule="auto"/>
        <w:ind w:firstLine="567"/>
        <w:contextualSpacing/>
        <w:textAlignment w:val="baseline"/>
        <w:rPr>
          <w:rFonts w:eastAsiaTheme="minorHAnsi"/>
          <w:color w:val="000000"/>
          <w:shd w:val="clear" w:color="auto" w:fill="FFFFFF"/>
        </w:rPr>
      </w:pPr>
      <w:r>
        <w:rPr>
          <w:color w:val="000000"/>
        </w:rPr>
        <w:t>Attiecīgi, lai nepieļautu interpretācijas iespējas, veicot atbalsta pasākuma uzraudzību, t.sk.</w:t>
      </w:r>
      <w:r w:rsidR="009F1B8D">
        <w:rPr>
          <w:color w:val="000000"/>
        </w:rPr>
        <w:t>,</w:t>
      </w:r>
      <w:r>
        <w:rPr>
          <w:color w:val="000000"/>
        </w:rPr>
        <w:t xml:space="preserve"> veicot </w:t>
      </w:r>
      <w:proofErr w:type="spellStart"/>
      <w:r>
        <w:rPr>
          <w:color w:val="000000"/>
        </w:rPr>
        <w:t>pārkompensācijas</w:t>
      </w:r>
      <w:proofErr w:type="spellEnd"/>
      <w:r>
        <w:rPr>
          <w:color w:val="000000"/>
        </w:rPr>
        <w:t xml:space="preserve"> aprēķinu, lai sniegto atbalstu elektroenerģijas ražotājam kvalificētu kā likumīgu, un gadījumos, kad attiecināms, piemērotu nelikumīga komercdarbības atgūšanas procedūras, lūdzam papildināt </w:t>
      </w:r>
      <w:r>
        <w:rPr>
          <w:color w:val="000000"/>
          <w:shd w:val="clear" w:color="auto" w:fill="FFFFFF"/>
        </w:rPr>
        <w:t>MKN Nr.560 30.punktu:</w:t>
      </w:r>
    </w:p>
    <w:p w14:paraId="50F8FD64" w14:textId="77777777" w:rsidR="00C53D4E" w:rsidRPr="00C53D4E" w:rsidRDefault="00C53D4E" w:rsidP="00C53D4E">
      <w:pPr>
        <w:pStyle w:val="ListParagraph"/>
        <w:numPr>
          <w:ilvl w:val="1"/>
          <w:numId w:val="2"/>
        </w:numPr>
        <w:tabs>
          <w:tab w:val="left" w:pos="567"/>
          <w:tab w:val="left" w:pos="993"/>
        </w:tabs>
        <w:spacing w:line="252" w:lineRule="auto"/>
        <w:ind w:left="567" w:firstLine="0"/>
        <w:rPr>
          <w:shd w:val="clear" w:color="auto" w:fill="FFFFFF"/>
        </w:rPr>
      </w:pPr>
      <w:r w:rsidRPr="00C53D4E">
        <w:rPr>
          <w:color w:val="000000"/>
          <w:shd w:val="clear" w:color="auto" w:fill="FFFFFF"/>
        </w:rPr>
        <w:t xml:space="preserve">skaidri nosakot, ka Publiskais tirgotājs no komersanta, kas elektroenerģiju ražo biogāzes vai biomasas elektrostacijās </w:t>
      </w:r>
      <w:r w:rsidRPr="00C53D4E">
        <w:rPr>
          <w:color w:val="000000"/>
          <w:u w:val="single"/>
          <w:shd w:val="clear" w:color="auto" w:fill="FFFFFF"/>
        </w:rPr>
        <w:t>(elektrostacijā ietilpstošā koģenerācijas stacija atbilst augstas efektivitātes kritērijam)</w:t>
      </w:r>
      <w:r w:rsidRPr="00C53D4E">
        <w:rPr>
          <w:color w:val="000000"/>
          <w:shd w:val="clear" w:color="auto" w:fill="FFFFFF"/>
        </w:rPr>
        <w:t>, iepērk tikai to elektroenerģijas daudzumu, kas atzīstams par saražotu efektīvā koģenerācijā un koģenerācijas iekārta atbilst Direktīvas 2004/8/EK, III pielikumā noteiktajiem kritērijiem, kā arī saskaņotajām efektivitātes atskaites vērtībām, kas noteiktas Komisijas 2006. gada 21. decembra Lēmumā 2007/74/EK par saskaņotu efektivitātes atskaites vērtību noteikšanu atsevišķai elektroenerģijas un siltuma ražošanai, piemērojot Eiropas Parlamenta un Padomes Direktīvu 2004/8/EK. Gadījumā, ja šobrīd ir spēkā direktīva vai lēmumi, kas aizstāj iepriekšminētos un nosacījumi neatšķiras, lūdzam dot atsauces uz tiem;</w:t>
      </w:r>
    </w:p>
    <w:p w14:paraId="526A3800" w14:textId="2ACB3690" w:rsidR="00C53D4E" w:rsidRPr="00C53D4E" w:rsidRDefault="00C53D4E" w:rsidP="00C53D4E">
      <w:pPr>
        <w:pStyle w:val="ListParagraph"/>
        <w:numPr>
          <w:ilvl w:val="1"/>
          <w:numId w:val="2"/>
        </w:numPr>
        <w:tabs>
          <w:tab w:val="left" w:pos="567"/>
          <w:tab w:val="left" w:pos="993"/>
        </w:tabs>
        <w:spacing w:line="252" w:lineRule="auto"/>
        <w:ind w:left="567" w:firstLine="0"/>
        <w:rPr>
          <w:shd w:val="clear" w:color="auto" w:fill="FFFFFF"/>
        </w:rPr>
      </w:pPr>
      <w:r w:rsidRPr="00C53D4E">
        <w:rPr>
          <w:color w:val="000000"/>
          <w:shd w:val="clear" w:color="auto" w:fill="FFFFFF"/>
        </w:rPr>
        <w:t>iekļaujot visas prasības, kas izriet no minētajiem EK dokumentiem. Gadījumā, ja kādas no prasībām jau ir iekļautas citos MKN Nr.560 punktos, dot atsauces uz konkrētajiem MKN Nr.560 vai noteikumu projekta punktiem.</w:t>
      </w:r>
    </w:p>
    <w:p w14:paraId="40B4AC4D" w14:textId="2582FF3E" w:rsidR="00C53D4E" w:rsidRPr="006C182A" w:rsidRDefault="00C53D4E" w:rsidP="00C53D4E">
      <w:pPr>
        <w:shd w:val="clear" w:color="auto" w:fill="FFFFFF"/>
        <w:tabs>
          <w:tab w:val="left" w:pos="567"/>
        </w:tabs>
        <w:autoSpaceDN w:val="0"/>
        <w:ind w:firstLine="567"/>
        <w:contextualSpacing/>
        <w:textAlignment w:val="baseline"/>
        <w:rPr>
          <w:rFonts w:eastAsiaTheme="minorHAnsi"/>
          <w:color w:val="000000"/>
        </w:rPr>
      </w:pPr>
      <w:r>
        <w:rPr>
          <w:color w:val="000000"/>
          <w:shd w:val="clear" w:color="auto" w:fill="FFFFFF"/>
        </w:rPr>
        <w:t>Vienlaikus vēršam uzmanību, ka Finanšu ministrija ar š.g. 11.janvāra vēstuli nosūtīja Ekonomikas ministrijai Eiropas Komisijas skaidrojumu e-</w:t>
      </w:r>
      <w:proofErr w:type="spellStart"/>
      <w:r>
        <w:rPr>
          <w:color w:val="000000"/>
          <w:shd w:val="clear" w:color="auto" w:fill="FFFFFF"/>
        </w:rPr>
        <w:t>State</w:t>
      </w:r>
      <w:proofErr w:type="spellEnd"/>
      <w:r>
        <w:rPr>
          <w:color w:val="000000"/>
          <w:shd w:val="clear" w:color="auto" w:fill="FFFFFF"/>
        </w:rPr>
        <w:t xml:space="preserve"> aid </w:t>
      </w:r>
      <w:proofErr w:type="spellStart"/>
      <w:r>
        <w:rPr>
          <w:color w:val="000000"/>
          <w:shd w:val="clear" w:color="auto" w:fill="FFFFFF"/>
        </w:rPr>
        <w:t>Wiki</w:t>
      </w:r>
      <w:proofErr w:type="spellEnd"/>
      <w:r>
        <w:rPr>
          <w:color w:val="000000"/>
          <w:shd w:val="clear" w:color="auto" w:fill="FFFFFF"/>
        </w:rPr>
        <w:t>, ka valsts atbalsta nosacījumi pieļauj darbības atbalstu</w:t>
      </w:r>
      <w:r>
        <w:rPr>
          <w:color w:val="000000"/>
        </w:rPr>
        <w:t>, ja koģenerācijas iekārta atbilst augstas efektivitātes koģenerācijas definīcijai.</w:t>
      </w:r>
    </w:p>
    <w:p w14:paraId="6E42EAD3" w14:textId="77777777" w:rsidR="00C53D4E" w:rsidRDefault="00C53D4E" w:rsidP="00C53D4E">
      <w:pPr>
        <w:numPr>
          <w:ilvl w:val="0"/>
          <w:numId w:val="1"/>
        </w:numPr>
        <w:tabs>
          <w:tab w:val="left" w:pos="851"/>
        </w:tabs>
        <w:spacing w:line="252" w:lineRule="auto"/>
        <w:ind w:left="0" w:firstLine="567"/>
        <w:rPr>
          <w:color w:val="000000"/>
        </w:rPr>
      </w:pPr>
      <w:r>
        <w:rPr>
          <w:color w:val="000000"/>
        </w:rPr>
        <w:t>Uzturam Finanšu ministrijas iebildumu par noteikumu projekta 28.punktā izteikto 61.</w:t>
      </w:r>
      <w:r>
        <w:rPr>
          <w:color w:val="000000"/>
          <w:vertAlign w:val="superscript"/>
        </w:rPr>
        <w:t>1</w:t>
      </w:r>
      <w:r>
        <w:rPr>
          <w:color w:val="000000"/>
        </w:rPr>
        <w:t xml:space="preserve"> punktu. Aicinām papildināt šo punktu arī ar atsauci uz noteikumu projekta 30.punktā izteikto 77.punktu, jo gadījumā, ja uzņēmums nevar pierādīt, ka nav bijis pārkompensēts un tādējādi nav saņēmis nelikumīgu valsts atbalstu, nelikumīgs atbalsts ir atgūstams. </w:t>
      </w:r>
    </w:p>
    <w:p w14:paraId="2631A531" w14:textId="1A40AA01" w:rsidR="00C53D4E" w:rsidRPr="00C53D4E" w:rsidRDefault="00C53D4E" w:rsidP="00C53D4E">
      <w:pPr>
        <w:tabs>
          <w:tab w:val="left" w:pos="851"/>
        </w:tabs>
        <w:ind w:firstLine="567"/>
        <w:rPr>
          <w:rFonts w:eastAsiaTheme="minorHAnsi"/>
          <w:lang w:eastAsia="lv-LV"/>
        </w:rPr>
      </w:pPr>
      <w:r>
        <w:rPr>
          <w:color w:val="000000"/>
          <w:shd w:val="clear" w:color="auto" w:fill="FFFFFF"/>
        </w:rPr>
        <w:t xml:space="preserve">Vienlaikus lūdzam pārskatīt vēl citus </w:t>
      </w:r>
      <w:r>
        <w:t xml:space="preserve">MKN Nr.560 un noteikumu projekta punktus, uz kuriem sniegt atsauces šajā punktā, kur minēto pārkāpumu rezultātā jāveic nelikumīga atbalsta </w:t>
      </w:r>
      <w:r>
        <w:lastRenderedPageBreak/>
        <w:t xml:space="preserve">atgūšana (piemēram, MKN Nr.560 </w:t>
      </w:r>
      <w:r>
        <w:rPr>
          <w:color w:val="000000"/>
          <w:shd w:val="clear" w:color="auto" w:fill="FFFFFF"/>
        </w:rPr>
        <w:t>49.3.punkts, kur konstatētās neatbilstības šo noteikumu prasībām var ietekmēt izmaksājamā atbalsta apmēru)</w:t>
      </w:r>
      <w:r>
        <w:t>.</w:t>
      </w:r>
    </w:p>
    <w:p w14:paraId="2B9BCCA5" w14:textId="553CD83E" w:rsidR="00C53D4E" w:rsidRPr="00C53D4E" w:rsidRDefault="00C53D4E" w:rsidP="00C53D4E">
      <w:pPr>
        <w:numPr>
          <w:ilvl w:val="0"/>
          <w:numId w:val="1"/>
        </w:numPr>
        <w:tabs>
          <w:tab w:val="left" w:pos="851"/>
        </w:tabs>
        <w:ind w:left="0" w:firstLine="567"/>
        <w:rPr>
          <w:shd w:val="clear" w:color="auto" w:fill="FFFFFF"/>
        </w:rPr>
      </w:pPr>
      <w:r>
        <w:t xml:space="preserve">Papildus lūdzam papildināt noteikumu projektu ar jaunu punktu, kas nodrošinās skaidru izpratni un interpretāciju par dokumentu glabāšanu atbalsta </w:t>
      </w:r>
      <w:r w:rsidRPr="009F1B8D">
        <w:t>saņēmējam un</w:t>
      </w:r>
      <w:r>
        <w:rPr>
          <w:color w:val="1F497D"/>
        </w:rPr>
        <w:t xml:space="preserve"> </w:t>
      </w:r>
      <w:r>
        <w:t xml:space="preserve">atbalsta sniedzējam, t.i., ka dokumentus pēc atbalsta perioda </w:t>
      </w:r>
      <w:r w:rsidRPr="009F1B8D">
        <w:t>beigām ir</w:t>
      </w:r>
      <w:r w:rsidRPr="009F1B8D">
        <w:rPr>
          <w:shd w:val="clear" w:color="auto" w:fill="FFFFFF"/>
        </w:rPr>
        <w:t xml:space="preserve"> jāuzglabā </w:t>
      </w:r>
      <w:r>
        <w:rPr>
          <w:color w:val="000000"/>
          <w:shd w:val="clear" w:color="auto" w:fill="FFFFFF"/>
        </w:rPr>
        <w:t>10 gadus no dienas, kad atbalsts piešķirts</w:t>
      </w:r>
      <w:r>
        <w:t xml:space="preserve">. Procedūras regulas 17.panta 1.punkts ietver norādi, ka uz EK </w:t>
      </w:r>
      <w:r>
        <w:rPr>
          <w:color w:val="000000"/>
          <w:shd w:val="clear" w:color="auto" w:fill="FFFFFF"/>
        </w:rPr>
        <w:t>tiesībām atgūt atbalstu attiecas desmit gadu noilguma termiņš</w:t>
      </w:r>
      <w:r>
        <w:t xml:space="preserve"> (“noilguma periods”). Vēršam uzmanību, ka daudzgadu atbalsta shēmas gadījumā, kas paredz regulārus maksājumus vai regulāru citu finansiālu priekšrocību piešķiršanu, starp atbalsta shēmas juridiskā pamata (piemēram, Ministru kabineta noteikumi) pieņemšanas datumu un datumu, kurā attiecīgajam uzņēmumam faktiski tiek piešķirts šis atbalsts (piemēram, pieņemts lēmums par atbalsta piešķiršanu), var paiet ievērojams laika periods. Šādā gadījumā, aprēķinot noilguma termiņu, atbalsts jāuzskata par piešķirtu saņēmējam tikai datumā, kurā tas ir faktiski izmaksāts minētajam saņēmējam. Vēršam uzmanību, ka anotācijā ietvertais “</w:t>
      </w:r>
      <w:r>
        <w:rPr>
          <w:i/>
          <w:iCs/>
        </w:rPr>
        <w:t>Atbilstoši Eiropas Savienības valsts atbalsta kontroles nosacījumiem komersantam ir pienākums 10 gadus pēc atbalsta perioda beigām saglabāt visus ar atbalsta saņemšanu saistītos dokumentus</w:t>
      </w:r>
      <w:r>
        <w:t>” nenodrošinās šī nosacījuma izpildi.</w:t>
      </w:r>
    </w:p>
    <w:p w14:paraId="1306A405" w14:textId="3982AC92" w:rsidR="00C53D4E" w:rsidRDefault="00C53D4E" w:rsidP="00C53D4E">
      <w:pPr>
        <w:numPr>
          <w:ilvl w:val="0"/>
          <w:numId w:val="1"/>
        </w:numPr>
        <w:tabs>
          <w:tab w:val="left" w:pos="851"/>
        </w:tabs>
        <w:ind w:left="0" w:firstLine="567"/>
        <w:rPr>
          <w:shd w:val="clear" w:color="auto" w:fill="FFFFFF"/>
        </w:rPr>
      </w:pPr>
      <w:r>
        <w:rPr>
          <w:color w:val="000000"/>
          <w:shd w:val="clear" w:color="auto" w:fill="FFFFFF"/>
        </w:rPr>
        <w:t xml:space="preserve">Lūdzam anotācijā sniegtajā pamatojumā par BVKB iespēju veikt IRR pārrēķinu </w:t>
      </w:r>
      <w:r w:rsidR="009F1B8D">
        <w:rPr>
          <w:color w:val="000000"/>
          <w:shd w:val="clear" w:color="auto" w:fill="FFFFFF"/>
        </w:rPr>
        <w:t>svītrot</w:t>
      </w:r>
      <w:r>
        <w:rPr>
          <w:color w:val="000000"/>
          <w:shd w:val="clear" w:color="auto" w:fill="FFFFFF"/>
        </w:rPr>
        <w:t xml:space="preserve"> vārdus “pēc nepieciešamības”, jo tas ir jādara vienmēr, kad konkrētie uzskaitītie gadījumi, piem., konstatējot </w:t>
      </w:r>
      <w:proofErr w:type="spellStart"/>
      <w:r>
        <w:rPr>
          <w:color w:val="000000"/>
          <w:shd w:val="clear" w:color="auto" w:fill="FFFFFF"/>
        </w:rPr>
        <w:t>pārkompensācijas</w:t>
      </w:r>
      <w:proofErr w:type="spellEnd"/>
      <w:r>
        <w:rPr>
          <w:color w:val="000000"/>
          <w:shd w:val="clear" w:color="auto" w:fill="FFFFFF"/>
        </w:rPr>
        <w:t xml:space="preserve"> risku, kā arī</w:t>
      </w:r>
      <w:r w:rsidR="009F1B8D">
        <w:rPr>
          <w:color w:val="000000"/>
          <w:shd w:val="clear" w:color="auto" w:fill="FFFFFF"/>
        </w:rPr>
        <w:t>,</w:t>
      </w:r>
      <w:r>
        <w:rPr>
          <w:color w:val="000000"/>
          <w:shd w:val="clear" w:color="auto" w:fill="FFFFFF"/>
        </w:rPr>
        <w:t xml:space="preserve">  konstatējot koģenerācijas stacijas uzstādītās elektriskās vai siltuma jaudas izmaiņas</w:t>
      </w:r>
      <w:r w:rsidR="009F1B8D">
        <w:rPr>
          <w:color w:val="000000"/>
          <w:shd w:val="clear" w:color="auto" w:fill="FFFFFF"/>
        </w:rPr>
        <w:t>,</w:t>
      </w:r>
      <w:r>
        <w:rPr>
          <w:color w:val="000000"/>
          <w:shd w:val="clear" w:color="auto" w:fill="FFFFFF"/>
        </w:rPr>
        <w:t xml:space="preserve"> u.c. gadījumi tiek konstatēti.</w:t>
      </w:r>
    </w:p>
    <w:p w14:paraId="2AFF3976" w14:textId="77777777" w:rsidR="006D6710" w:rsidRPr="00615936" w:rsidRDefault="006D6710" w:rsidP="007F3771">
      <w:pPr>
        <w:rPr>
          <w:szCs w:val="24"/>
        </w:rPr>
      </w:pPr>
    </w:p>
    <w:p w14:paraId="55A87736" w14:textId="34D984AA" w:rsidR="00557B49" w:rsidRDefault="00557B49" w:rsidP="007F3771">
      <w:pPr>
        <w:rPr>
          <w:szCs w:val="24"/>
        </w:rPr>
      </w:pPr>
    </w:p>
    <w:p w14:paraId="7BE4A507" w14:textId="77777777"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1ACCC3A9" w14:textId="77777777" w:rsidTr="00AA6DC1">
        <w:tc>
          <w:tcPr>
            <w:tcW w:w="4395" w:type="dxa"/>
          </w:tcPr>
          <w:p w14:paraId="0D9C0431" w14:textId="1DFAAE02" w:rsidR="00AA6DC1" w:rsidRPr="00615936" w:rsidRDefault="00D15392" w:rsidP="007F3771">
            <w:pPr>
              <w:rPr>
                <w:szCs w:val="24"/>
              </w:rPr>
            </w:pPr>
            <w:r>
              <w:rPr>
                <w:szCs w:val="24"/>
              </w:rPr>
              <w:t>Administrācijas vadītāja</w:t>
            </w:r>
          </w:p>
        </w:tc>
        <w:tc>
          <w:tcPr>
            <w:tcW w:w="1984" w:type="dxa"/>
          </w:tcPr>
          <w:p w14:paraId="35598F03" w14:textId="77777777" w:rsidR="00AA6DC1" w:rsidRDefault="00AA6DC1" w:rsidP="00AA6DC1">
            <w:pPr>
              <w:jc w:val="center"/>
              <w:rPr>
                <w:szCs w:val="24"/>
              </w:rPr>
            </w:pPr>
            <w:bookmarkStart w:id="7" w:name="edoc_info2"/>
            <w:r>
              <w:rPr>
                <w:szCs w:val="24"/>
              </w:rPr>
              <w:t>(paraksts*)</w:t>
            </w:r>
            <w:bookmarkEnd w:id="7"/>
          </w:p>
        </w:tc>
        <w:tc>
          <w:tcPr>
            <w:tcW w:w="2977" w:type="dxa"/>
            <w:vAlign w:val="bottom"/>
          </w:tcPr>
          <w:p w14:paraId="47D03D4E" w14:textId="3369C952" w:rsidR="00AA6DC1" w:rsidRPr="00615936" w:rsidRDefault="00D15392" w:rsidP="00483407">
            <w:pPr>
              <w:jc w:val="right"/>
              <w:rPr>
                <w:szCs w:val="24"/>
              </w:rPr>
            </w:pPr>
            <w:proofErr w:type="spellStart"/>
            <w:r>
              <w:rPr>
                <w:szCs w:val="24"/>
              </w:rPr>
              <w:t>I.Braunfelde</w:t>
            </w:r>
            <w:proofErr w:type="spellEnd"/>
          </w:p>
        </w:tc>
      </w:tr>
      <w:tr w:rsidR="00AA6DC1" w:rsidRPr="00615936" w14:paraId="43E2C69D" w14:textId="77777777" w:rsidTr="00AA6DC1">
        <w:tc>
          <w:tcPr>
            <w:tcW w:w="4395" w:type="dxa"/>
          </w:tcPr>
          <w:p w14:paraId="3C7AFA91" w14:textId="77777777" w:rsidR="00AA6DC1" w:rsidRPr="00615936" w:rsidRDefault="00AA6DC1" w:rsidP="007F3771">
            <w:pPr>
              <w:rPr>
                <w:szCs w:val="24"/>
              </w:rPr>
            </w:pPr>
          </w:p>
        </w:tc>
        <w:tc>
          <w:tcPr>
            <w:tcW w:w="1984" w:type="dxa"/>
          </w:tcPr>
          <w:p w14:paraId="54EB7427" w14:textId="77777777" w:rsidR="00AA6DC1" w:rsidRPr="00615936" w:rsidRDefault="00AA6DC1" w:rsidP="000C0DD4">
            <w:pPr>
              <w:jc w:val="right"/>
              <w:rPr>
                <w:szCs w:val="24"/>
              </w:rPr>
            </w:pPr>
          </w:p>
        </w:tc>
        <w:tc>
          <w:tcPr>
            <w:tcW w:w="2977" w:type="dxa"/>
            <w:vAlign w:val="bottom"/>
          </w:tcPr>
          <w:p w14:paraId="67D3D016"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539B399F" w14:textId="77777777" w:rsidTr="00AA6DC1">
        <w:trPr>
          <w:cantSplit/>
          <w:trHeight w:val="615"/>
        </w:trPr>
        <w:tc>
          <w:tcPr>
            <w:tcW w:w="8647" w:type="dxa"/>
          </w:tcPr>
          <w:p w14:paraId="6DEA6114" w14:textId="77777777" w:rsidR="002D6CB4" w:rsidRPr="00AA6DC1" w:rsidRDefault="00AA6DC1" w:rsidP="00AA6DC1">
            <w:pPr>
              <w:pStyle w:val="BodyTextIndent"/>
              <w:tabs>
                <w:tab w:val="left" w:pos="8397"/>
              </w:tabs>
              <w:ind w:left="0"/>
              <w:rPr>
                <w:sz w:val="24"/>
                <w:szCs w:val="24"/>
              </w:rPr>
            </w:pPr>
            <w:bookmarkStart w:id="8" w:name="edoc_info" w:colFirst="0" w:colLast="0"/>
            <w:r w:rsidRPr="00AA6DC1">
              <w:rPr>
                <w:sz w:val="24"/>
                <w:szCs w:val="24"/>
              </w:rPr>
              <w:t>*Dokuments ir parakstīts ar drošu elektronisko parakstu</w:t>
            </w:r>
          </w:p>
        </w:tc>
      </w:tr>
      <w:bookmarkEnd w:id="8"/>
    </w:tbl>
    <w:p w14:paraId="04FE5E42" w14:textId="5C0BBBB8" w:rsidR="00826D51" w:rsidRDefault="00826D51" w:rsidP="007F3771">
      <w:pPr>
        <w:rPr>
          <w:sz w:val="20"/>
        </w:rPr>
      </w:pPr>
    </w:p>
    <w:p w14:paraId="492D70E3" w14:textId="6F5095A5" w:rsidR="00C53D4E" w:rsidRDefault="00C53D4E" w:rsidP="007F3771">
      <w:pPr>
        <w:rPr>
          <w:sz w:val="20"/>
        </w:rPr>
      </w:pPr>
    </w:p>
    <w:p w14:paraId="0189CB57" w14:textId="77777777" w:rsidR="00C53D4E" w:rsidRDefault="00C53D4E" w:rsidP="007F3771">
      <w:pPr>
        <w:rPr>
          <w:sz w:val="20"/>
        </w:rPr>
      </w:pPr>
    </w:p>
    <w:p w14:paraId="6927AD7E" w14:textId="43A8D04F" w:rsidR="00D15392" w:rsidRDefault="00D15392" w:rsidP="00550BA5">
      <w:pPr>
        <w:ind w:firstLine="142"/>
        <w:rPr>
          <w:sz w:val="20"/>
        </w:rPr>
      </w:pPr>
      <w:r>
        <w:rPr>
          <w:sz w:val="20"/>
        </w:rPr>
        <w:t xml:space="preserve">Āboliņa 67083963 </w:t>
      </w:r>
    </w:p>
    <w:p w14:paraId="18911D4E" w14:textId="50F8AEAF" w:rsidR="00C53D4E" w:rsidRDefault="00D337BC" w:rsidP="00C53D4E">
      <w:pPr>
        <w:ind w:firstLine="142"/>
        <w:rPr>
          <w:sz w:val="20"/>
        </w:rPr>
      </w:pPr>
      <w:hyperlink r:id="rId15" w:history="1">
        <w:r w:rsidR="00C53D4E" w:rsidRPr="00D93742">
          <w:rPr>
            <w:rStyle w:val="Hyperlink"/>
            <w:sz w:val="20"/>
          </w:rPr>
          <w:t>ilze.abolina@fm.gov.lv</w:t>
        </w:r>
      </w:hyperlink>
    </w:p>
    <w:p w14:paraId="2F379B27" w14:textId="77777777" w:rsidR="00C53D4E" w:rsidRDefault="00C53D4E" w:rsidP="00C53D4E">
      <w:pPr>
        <w:ind w:firstLine="142"/>
        <w:rPr>
          <w:sz w:val="20"/>
        </w:rPr>
      </w:pPr>
    </w:p>
    <w:p w14:paraId="402AE4A8" w14:textId="1F76E4E3" w:rsidR="00C53D4E" w:rsidRDefault="00C53D4E" w:rsidP="00C53D4E">
      <w:pPr>
        <w:ind w:firstLine="142"/>
        <w:rPr>
          <w:sz w:val="20"/>
        </w:rPr>
      </w:pPr>
      <w:proofErr w:type="spellStart"/>
      <w:r>
        <w:rPr>
          <w:sz w:val="20"/>
        </w:rPr>
        <w:t>Galauska</w:t>
      </w:r>
      <w:proofErr w:type="spellEnd"/>
      <w:r>
        <w:rPr>
          <w:sz w:val="20"/>
        </w:rPr>
        <w:t xml:space="preserve"> </w:t>
      </w:r>
      <w:r w:rsidRPr="00C53D4E">
        <w:rPr>
          <w:sz w:val="20"/>
        </w:rPr>
        <w:t>67083854</w:t>
      </w:r>
    </w:p>
    <w:p w14:paraId="6A14E9F8" w14:textId="0EC40A86" w:rsidR="00C53D4E" w:rsidRPr="00C53D4E" w:rsidRDefault="00D337BC" w:rsidP="00C53D4E">
      <w:pPr>
        <w:ind w:firstLine="142"/>
        <w:rPr>
          <w:sz w:val="20"/>
        </w:rPr>
      </w:pPr>
      <w:hyperlink r:id="rId16" w:history="1">
        <w:r w:rsidR="00C53D4E" w:rsidRPr="00D93742">
          <w:rPr>
            <w:rStyle w:val="Hyperlink"/>
            <w:sz w:val="20"/>
          </w:rPr>
          <w:t>gunita.galauska@fm.gov.lv</w:t>
        </w:r>
      </w:hyperlink>
      <w:r w:rsidR="00C53D4E">
        <w:rPr>
          <w:sz w:val="20"/>
        </w:rPr>
        <w:t xml:space="preserve"> </w:t>
      </w:r>
    </w:p>
    <w:p w14:paraId="450BACDF" w14:textId="77777777" w:rsidR="00C53D4E" w:rsidRPr="006D6710" w:rsidRDefault="00C53D4E">
      <w:pPr>
        <w:ind w:firstLine="142"/>
        <w:rPr>
          <w:sz w:val="20"/>
        </w:rPr>
      </w:pPr>
    </w:p>
    <w:sectPr w:rsidR="00C53D4E" w:rsidRPr="006D6710" w:rsidSect="002C22B9">
      <w:headerReference w:type="even" r:id="rId17"/>
      <w:headerReference w:type="default" r:id="rId18"/>
      <w:footerReference w:type="even" r:id="rId19"/>
      <w:footerReference w:type="default" r:id="rId20"/>
      <w:headerReference w:type="first" r:id="rId21"/>
      <w:footerReference w:type="first" r:id="rId22"/>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F706BD" w14:textId="77777777" w:rsidR="00D337BC" w:rsidRDefault="00D337BC">
      <w:r>
        <w:separator/>
      </w:r>
    </w:p>
  </w:endnote>
  <w:endnote w:type="continuationSeparator" w:id="0">
    <w:p w14:paraId="504F8592" w14:textId="77777777" w:rsidR="00D337BC" w:rsidRDefault="00D33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31ACF"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722951"/>
      <w:docPartObj>
        <w:docPartGallery w:val="Page Numbers (Bottom of Page)"/>
        <w:docPartUnique/>
      </w:docPartObj>
    </w:sdtPr>
    <w:sdtEndPr/>
    <w:sdtContent>
      <w:p w14:paraId="6F3B3DFE"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2</w:t>
        </w:r>
        <w:r w:rsidRPr="00557B49">
          <w:rPr>
            <w:sz w:val="24"/>
            <w:szCs w:val="24"/>
          </w:rPr>
          <w:fldChar w:fldCharType="end"/>
        </w:r>
      </w:p>
    </w:sdtContent>
  </w:sdt>
  <w:p w14:paraId="4EC62206"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A1C06" w14:textId="77777777" w:rsidR="0015384D" w:rsidRDefault="0015384D">
    <w:pPr>
      <w:pStyle w:val="Footer"/>
      <w:jc w:val="center"/>
    </w:pPr>
  </w:p>
  <w:p w14:paraId="0321DF49"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58AEA2" w14:textId="77777777" w:rsidR="00D337BC" w:rsidRDefault="00D337BC">
      <w:r>
        <w:separator/>
      </w:r>
    </w:p>
  </w:footnote>
  <w:footnote w:type="continuationSeparator" w:id="0">
    <w:p w14:paraId="220718C5" w14:textId="77777777" w:rsidR="00D337BC" w:rsidRDefault="00D337BC">
      <w:r>
        <w:continuationSeparator/>
      </w:r>
    </w:p>
  </w:footnote>
  <w:footnote w:id="1">
    <w:p w14:paraId="00CF11A3" w14:textId="77777777" w:rsidR="00C53D4E" w:rsidRDefault="00C53D4E" w:rsidP="00C53D4E">
      <w:pPr>
        <w:pStyle w:val="FootnoteText"/>
        <w:rPr>
          <w:rFonts w:eastAsiaTheme="minorHAnsi"/>
        </w:rPr>
      </w:pPr>
      <w:r>
        <w:rPr>
          <w:rStyle w:val="FootnoteReference"/>
        </w:rPr>
        <w:t>[2]</w:t>
      </w:r>
      <w:r>
        <w:t xml:space="preserve"> https://eur-lex.europa.eu/legal-content/LV/TXT/?uri=CELEX%3A52008XC0401%2803%29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6E20C"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626AC07F"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1C37C"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B07A0" w14:textId="77777777" w:rsidR="002C22B9" w:rsidRDefault="002C22B9">
    <w:pPr>
      <w:pStyle w:val="Header"/>
    </w:pPr>
  </w:p>
  <w:p w14:paraId="28C06F4D" w14:textId="77777777" w:rsidR="002C22B9" w:rsidRDefault="002C22B9">
    <w:pPr>
      <w:pStyle w:val="Header"/>
    </w:pPr>
  </w:p>
  <w:p w14:paraId="797A9F48" w14:textId="77777777" w:rsidR="002C22B9" w:rsidRDefault="002C22B9">
    <w:pPr>
      <w:pStyle w:val="Header"/>
    </w:pPr>
  </w:p>
  <w:p w14:paraId="703D83D7"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79AC943A" wp14:editId="6CBF7558">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0181FE"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79AC943A"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6C0181FE"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0805AFFA" wp14:editId="5D3CB8CD">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F7C486" w14:textId="77777777" w:rsidR="002C22B9" w:rsidRDefault="002C22B9">
    <w:pPr>
      <w:pStyle w:val="Header"/>
    </w:pPr>
  </w:p>
  <w:p w14:paraId="763AEE11" w14:textId="77777777" w:rsidR="002C22B9" w:rsidRDefault="002C22B9">
    <w:pPr>
      <w:pStyle w:val="Header"/>
    </w:pPr>
  </w:p>
  <w:p w14:paraId="4DCBF485" w14:textId="77777777" w:rsidR="002C22B9" w:rsidRDefault="002C22B9">
    <w:pPr>
      <w:pStyle w:val="Header"/>
    </w:pPr>
  </w:p>
  <w:p w14:paraId="247063EA" w14:textId="77777777" w:rsidR="002C22B9" w:rsidRDefault="002C22B9">
    <w:pPr>
      <w:pStyle w:val="Header"/>
    </w:pPr>
  </w:p>
  <w:p w14:paraId="06B5DA6F" w14:textId="77777777" w:rsidR="002C22B9" w:rsidRDefault="002C22B9">
    <w:pPr>
      <w:pStyle w:val="Header"/>
    </w:pPr>
  </w:p>
  <w:p w14:paraId="09898050" w14:textId="77777777" w:rsidR="002C22B9" w:rsidRDefault="002C22B9">
    <w:pPr>
      <w:pStyle w:val="Header"/>
    </w:pPr>
  </w:p>
  <w:p w14:paraId="7B0C2213"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7D8A660A" wp14:editId="4179781B">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1B8428C4" w14:textId="77777777" w:rsidR="002C22B9" w:rsidRDefault="002C22B9">
    <w:pPr>
      <w:pStyle w:val="Header"/>
    </w:pPr>
  </w:p>
  <w:p w14:paraId="381CB667" w14:textId="77777777" w:rsidR="002C22B9" w:rsidRDefault="002C22B9">
    <w:pPr>
      <w:pStyle w:val="Header"/>
    </w:pPr>
  </w:p>
  <w:p w14:paraId="408E6708"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4459F"/>
    <w:multiLevelType w:val="multilevel"/>
    <w:tmpl w:val="631C808E"/>
    <w:lvl w:ilvl="0">
      <w:start w:val="1"/>
      <w:numFmt w:val="decimal"/>
      <w:lvlText w:val="%1."/>
      <w:lvlJc w:val="left"/>
      <w:pPr>
        <w:ind w:left="927" w:hanging="360"/>
      </w:pPr>
      <w:rPr>
        <w:color w:val="000000"/>
      </w:rPr>
    </w:lvl>
    <w:lvl w:ilvl="1">
      <w:start w:val="1"/>
      <w:numFmt w:val="lowerLetter"/>
      <w:isLgl/>
      <w:lvlText w:val="%2)"/>
      <w:lvlJc w:val="left"/>
      <w:pPr>
        <w:ind w:left="1287" w:hanging="360"/>
      </w:pPr>
      <w:rPr>
        <w:rFonts w:ascii="Times New Roman" w:eastAsia="Times New Roman" w:hAnsi="Times New Roman" w:cs="Times New Roman"/>
        <w:i w:val="0"/>
        <w:sz w:val="24"/>
        <w:szCs w:val="24"/>
      </w:rPr>
    </w:lvl>
    <w:lvl w:ilvl="2">
      <w:start w:val="1"/>
      <w:numFmt w:val="decimal"/>
      <w:isLgl/>
      <w:lvlText w:val="%3."/>
      <w:lvlJc w:val="left"/>
      <w:pPr>
        <w:ind w:left="2007" w:hanging="720"/>
      </w:pPr>
      <w:rPr>
        <w:rFonts w:ascii="Times New Roman" w:eastAsia="Calibri" w:hAnsi="Times New Roman" w:cs="Times New Roman"/>
        <w:sz w:val="24"/>
        <w:szCs w:val="24"/>
      </w:r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 w15:restartNumberingAfterBreak="0">
    <w:nsid w:val="32CB5C09"/>
    <w:multiLevelType w:val="hybridMultilevel"/>
    <w:tmpl w:val="15AA6A0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C20"/>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C182A"/>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D3EC6"/>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1B8D"/>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3D4E"/>
    <w:rsid w:val="00C54CFF"/>
    <w:rsid w:val="00C56C1D"/>
    <w:rsid w:val="00C6145F"/>
    <w:rsid w:val="00C640B7"/>
    <w:rsid w:val="00C81055"/>
    <w:rsid w:val="00C87CD4"/>
    <w:rsid w:val="00CD3BB8"/>
    <w:rsid w:val="00CE0655"/>
    <w:rsid w:val="00CF7CC2"/>
    <w:rsid w:val="00D0332A"/>
    <w:rsid w:val="00D06A60"/>
    <w:rsid w:val="00D1142D"/>
    <w:rsid w:val="00D149A6"/>
    <w:rsid w:val="00D15392"/>
    <w:rsid w:val="00D3049B"/>
    <w:rsid w:val="00D337BC"/>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 w:val="00FF72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4A789F"/>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aliases w:val="Footnote Char,Footnote text,Fußn,Fußnote,Fußnote Char,Fußnotentext Char Char,Reference,Schriftart: 10 pt,Schriftart: 8 pt,Schriftart: 9 pt,Voetnoottekst Char,Voetnoottekst Char1,Voetnoottekst Char2 Char Char,WB-Fußnotentext,fußn,o,stile 1"/>
    <w:basedOn w:val="Normal"/>
    <w:link w:val="FootnoteTextChar"/>
    <w:semiHidden/>
    <w:rsid w:val="00903B9C"/>
    <w:rPr>
      <w:sz w:val="20"/>
    </w:rPr>
  </w:style>
  <w:style w:type="character" w:styleId="FootnoteReference">
    <w:name w:val="footnote reference"/>
    <w:aliases w:val="-E Fußnotenzeichen,BVI fnr,E FNZ,Exposant 3 Point,Footnote,Footnote Reference Number,Footnote Reference Superscript,Footnote sign,Footnote symboFußnotenzeichen,Footnote symbol,Footnote#,Ref,SUPERS,Times 10 Point,de nota al pie,stylish"/>
    <w:link w:val="FootnotesymbolCarZchn"/>
    <w:uiPriority w:val="99"/>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aliases w:val="Footnote Char Char,Footnote text Char,Fußn Char,Fußnote Char1,Fußnote Char Char,Fußnotentext Char Char Char,Reference Char,Schriftart: 10 pt Char,Schriftart: 8 pt Char,Schriftart: 9 pt Char,Voetnoottekst Char Char,WB-Fußnoten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rsid w:val="00C53D4E"/>
    <w:pPr>
      <w:spacing w:after="160" w:line="240" w:lineRule="exact"/>
    </w:pPr>
    <w:rPr>
      <w:sz w:val="20"/>
      <w:vertAlign w:val="superscript"/>
      <w:lang w:eastAsia="lv-LV"/>
    </w:rPr>
  </w:style>
  <w:style w:type="paragraph" w:styleId="ListParagraph">
    <w:name w:val="List Paragraph"/>
    <w:basedOn w:val="Normal"/>
    <w:uiPriority w:val="34"/>
    <w:qFormat/>
    <w:rsid w:val="00C53D4E"/>
    <w:pPr>
      <w:ind w:left="720"/>
      <w:contextualSpacing/>
    </w:pPr>
  </w:style>
  <w:style w:type="character" w:styleId="UnresolvedMention">
    <w:name w:val="Unresolved Mention"/>
    <w:basedOn w:val="DefaultParagraphFont"/>
    <w:uiPriority w:val="99"/>
    <w:semiHidden/>
    <w:unhideWhenUsed/>
    <w:rsid w:val="00C53D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54229539">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08834" TargetMode="External"/><Relationship Id="rId13" Type="http://schemas.openxmlformats.org/officeDocument/2006/relationships/hyperlink" Target="https://likumi.lv/ta/id/108834"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likumi.lv/ta/id/108834"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gunita.galauska@fm.gov.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10883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ilze.abolina@fm.gov.lv" TargetMode="External"/><Relationship Id="rId23" Type="http://schemas.openxmlformats.org/officeDocument/2006/relationships/fontTable" Target="fontTable.xml"/><Relationship Id="rId10" Type="http://schemas.openxmlformats.org/officeDocument/2006/relationships/hyperlink" Target="https://likumi.lv/ta/id/108834"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108834" TargetMode="External"/><Relationship Id="rId14" Type="http://schemas.openxmlformats.org/officeDocument/2006/relationships/hyperlink" Target="https://likumi.lv/ta/id/108834"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6CCB28-EEA2-4D27-B062-D8BDB9885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5926</Words>
  <Characters>3378</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noteikumu projektu "Grozījumi Ministru kabinet</dc:subject>
  <dc:creator>Āboliņa I.</dc:creator>
  <dc:description>Sagatavots ALS E-aprites vidē.</dc:description>
  <cp:lastModifiedBy>Alvils Strīķeris</cp:lastModifiedBy>
  <cp:revision>2</cp:revision>
  <cp:lastPrinted>2007-06-25T10:49:00Z</cp:lastPrinted>
  <dcterms:created xsi:type="dcterms:W3CDTF">2021-04-19T05:45:00Z</dcterms:created>
  <dcterms:modified xsi:type="dcterms:W3CDTF">2021-04-19T05:45:00Z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