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26-TA-372: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“Jurīši” Brankās, Cenu pagastā, Jelgavas novadā, daļas pirkšanu satiksmes drošības pasākumu īstenošanai valsts galvenā autoceļa A8 “Rīga-Jelgava-Lietuvas robeža (Meitene)” un valsts vietējā autoceļa V1068 “Ozolnieki-Brankas-Brankstūri” mezglā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27.04.2026. 18:51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papildināt anotāciju, norādot vai nekustamā īpašuma (kadastra Nr. 5444 005 0104) īpašnieces izteiktie jautājumi un iebildumi 2025. gada 4. augusta vēstulē ir izvērtēti un kādā kārtībā tie ir risināmi.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pievienotajiem dokumentiem secināms, ka nekustamā īpašuma (kadastra Nr. 5444 005 0104) novērtējuma ziņojuma 3.5.5. punkts noteic, ka nekustamā īpašnieces minētie jautājumi un iebildumi ir risināmi ar visām būvprojektā iesaistītajām institūcijām. Tiesiskās skaidrības labad norādām, ka minēto atrunu ir nepieciešams ietvert anotācijā, jo nekustamā īpašuma (kadastra Nr. 5444 005 0104) īpašniece 2025. gada 4. augusta vēstulē ir lūgusi atsavināšanas procesu apturēt līdz viņai tiek sniegtas atbildes uz vēstulē izvirzītajiem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papildināt anotāciju ar informāciju par aizsargājamā koka (dižkoka) teritoriju atsavināmās zemes vienības (kadastra apzīmējums 5440050104) daļai, tostarp norādot, vai aizsargājamais koks pēc atsavināšanas procesa tiks ietekmēts. Gadījumā, ja pēc zemes vienības (kadastra apzīmējums 5440050104) daļas atsavināšanas secināms, ka aizsargājamais koks tiks ietekmēts, tad norādām, ka šādā gadījumā nepieciešams precizēt anotāciju, norādot, ka  Satiksmes ministrijai ir saistoši normatīvie akti par aizsargājamās teritorijas aizsardzības un izmantošanas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kā hipotekārajam kreditoram (turpmāk - kreditors) tika paziņots par nekustamā īpašuma atsavināšanu. Proti, no pievienotajiem dokumentiem redzams, ka VSIA “Latvijas valsts ceļi” informēja kreditoru ar 2025. gada 1. jūlija vēstuli Nr. 4.9/12481.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arī precizēt anotāciju, norādot to, vai kreditors ir izteicis piekrišanu nekustamā īpašuma atsavināšanai.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w:t>
            </w:r>
            <w:r w:rsidR="00000000" w:rsidRPr="00000000" w:rsidDel="00000000">
              <w:rPr>
                <w:rtl w:val="0"/>
              </w:rPr>
              <w:t xml:space="preserve">Institūcija atbilstoši Sabiedrības vajadzībām nepieciešamā nekustamā īpašuma atsavināšanas likuma 7.</w:t>
            </w:r>
            <w:r w:rsidR="00000000" w:rsidRPr="00000000" w:rsidDel="00000000">
              <w:rPr>
                <w:vertAlign w:val="superscript"/>
                <w:rtl w:val="0"/>
              </w:rPr>
              <w:t xml:space="preserve">1</w:t>
            </w:r>
            <w:r w:rsidR="00000000" w:rsidRPr="00000000" w:rsidDel="00000000">
              <w:rPr>
                <w:rtl w:val="0"/>
              </w:rPr>
              <w:t xml:space="preserve"> pantā noteiktajam, atsavinot nekustamo īpašumu sabiedrības vajadzībām, ievēro arī tās personas intereses, kurai par labu attiecībā uz nekustamo īpašumu ir nostiprināta ķīlas tiesība, saskaņā ar šī likuma 18. panta pirmajā daļā noteikto nosūta paziņojumu par šā īpašuma vai tā daļas atsavināšanas nepieciešamību personai, kurai par labu attiecībā uz nekustamo īpašumu ir nostiprināta ķīlas tiesība.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26-TA-372</w:t>
    </w:r>
    <w:r>
      <w:br/>
    </w:r>
    <w:r w:rsidR="00000000" w:rsidRPr="00000000" w:rsidDel="00000000">
      <w:rPr>
        <w:rtl w:val="0"/>
      </w:rPr>
      <w:t xml:space="preserve">21.05.2026. 14.35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26-TA-372</w:t>
    </w:r>
    <w:r>
      <w:br/>
    </w:r>
    <w:r w:rsidR="00000000" w:rsidRPr="00000000" w:rsidDel="00000000">
      <w:rPr>
        <w:rtl w:val="0"/>
      </w:rPr>
      <w:t xml:space="preserve">21.05.2026. 14.35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Izziņa_26-TA-372.docx</dc:title>
</cp:coreProperties>
</file>

<file path=docProps/custom.xml><?xml version="1.0" encoding="utf-8"?>
<Properties xmlns="http://schemas.openxmlformats.org/officeDocument/2006/custom-properties" xmlns:vt="http://schemas.openxmlformats.org/officeDocument/2006/docPropsVTypes"/>
</file>