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26AE0" w14:textId="77777777" w:rsidR="002C273B" w:rsidRDefault="002C273B" w:rsidP="002C273B">
      <w:pPr>
        <w:rPr>
          <w:rFonts w:asciiTheme="minorHAnsi" w:hAnsiTheme="minorHAnsi" w:cstheme="minorBidi"/>
        </w:rPr>
      </w:pPr>
    </w:p>
    <w:p w14:paraId="450AD191" w14:textId="77777777" w:rsidR="002C273B" w:rsidRDefault="002C273B" w:rsidP="002C273B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Sintija Siliņa &lt;Sintija.Silina@lddk.lv&gt;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September 14, 2021 2:51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Arta.Smukste@em.gov.lv.;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FW: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5 </w:t>
      </w:r>
      <w:proofErr w:type="spellStart"/>
      <w:r>
        <w:rPr>
          <w:rFonts w:eastAsia="Times New Roman"/>
          <w:lang w:val="en-US" w:eastAsia="lv-LV"/>
        </w:rPr>
        <w:t>dienu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skaņošana</w:t>
      </w:r>
      <w:proofErr w:type="spellEnd"/>
      <w:r>
        <w:rPr>
          <w:rFonts w:eastAsia="Times New Roman"/>
          <w:lang w:val="en-US" w:eastAsia="lv-LV"/>
        </w:rPr>
        <w:t xml:space="preserve"> VSS-639</w:t>
      </w:r>
    </w:p>
    <w:p w14:paraId="4B167860" w14:textId="77777777" w:rsidR="002C273B" w:rsidRDefault="002C273B" w:rsidP="002C273B"/>
    <w:p w14:paraId="3814C667" w14:textId="77777777" w:rsidR="002C273B" w:rsidRDefault="002C273B" w:rsidP="002C273B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100C3ADB" w14:textId="77777777" w:rsidR="002C273B" w:rsidRDefault="002C273B" w:rsidP="002C27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Labdien,</w:t>
      </w:r>
    </w:p>
    <w:p w14:paraId="403AAA71" w14:textId="77777777" w:rsidR="002C273B" w:rsidRDefault="002C273B" w:rsidP="002C273B">
      <w:pPr>
        <w:jc w:val="both"/>
        <w:rPr>
          <w:rFonts w:ascii="Arial" w:hAnsi="Arial" w:cs="Arial"/>
          <w:sz w:val="24"/>
          <w:szCs w:val="24"/>
        </w:rPr>
      </w:pPr>
    </w:p>
    <w:p w14:paraId="25A98473" w14:textId="77777777" w:rsidR="002C273B" w:rsidRDefault="002C273B" w:rsidP="002C273B">
      <w:pPr>
        <w:jc w:val="both"/>
        <w:rPr>
          <w:rFonts w:ascii="Arial" w:hAnsi="Arial" w:cs="Arial"/>
          <w:sz w:val="24"/>
          <w:szCs w:val="24"/>
        </w:rPr>
      </w:pPr>
    </w:p>
    <w:p w14:paraId="734AE99F" w14:textId="77777777" w:rsidR="002C273B" w:rsidRDefault="002C273B" w:rsidP="002C27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Latvijas Darba devēju konfederācija (turpmāk - LDDK) atsauc savu iepriekš sniegto saskaņojumu izziņai par atzinumos sniegtajiem iebildumiem un anotāciju par Likumprojektu “Grozījumi Negodīgas </w:t>
      </w:r>
      <w:proofErr w:type="spellStart"/>
      <w:r>
        <w:rPr>
          <w:rFonts w:ascii="Arial" w:hAnsi="Arial" w:cs="Arial"/>
          <w:sz w:val="24"/>
          <w:szCs w:val="24"/>
        </w:rPr>
        <w:t>komercprakses</w:t>
      </w:r>
      <w:proofErr w:type="spellEnd"/>
      <w:r>
        <w:rPr>
          <w:rFonts w:ascii="Arial" w:hAnsi="Arial" w:cs="Arial"/>
          <w:sz w:val="24"/>
          <w:szCs w:val="24"/>
        </w:rPr>
        <w:t xml:space="preserve"> aizlieguma likumā” (VSS-639).</w:t>
      </w:r>
    </w:p>
    <w:p w14:paraId="1BF15B4C" w14:textId="77777777" w:rsidR="002C273B" w:rsidRDefault="002C273B" w:rsidP="002C273B">
      <w:pPr>
        <w:jc w:val="both"/>
        <w:rPr>
          <w:rFonts w:ascii="Arial" w:hAnsi="Arial" w:cs="Arial"/>
          <w:sz w:val="24"/>
          <w:szCs w:val="24"/>
        </w:rPr>
      </w:pPr>
    </w:p>
    <w:p w14:paraId="154820B1" w14:textId="77777777" w:rsidR="002C273B" w:rsidRDefault="002C273B" w:rsidP="002C27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LDDK, atkārtoti izskatot  izziņu par atzinumos sniegtajiem iebildumiem un precizēto anotāciju, saskaņo to, vienlaikus izsakot šādus iebildumus un ierosinājumus.</w:t>
      </w:r>
    </w:p>
    <w:p w14:paraId="0B1AF4FB" w14:textId="77777777" w:rsidR="002C273B" w:rsidRDefault="002C273B" w:rsidP="002C273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Par negodīgas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komercprakses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jēdzienu. LDDK ierosina papildināt anotāciju ar skaidrojumu kā tiks konstatēts  negodīgas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komercprakses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fakts.</w:t>
      </w:r>
    </w:p>
    <w:p w14:paraId="2434EA06" w14:textId="77777777" w:rsidR="002C273B" w:rsidRDefault="002C273B" w:rsidP="002C27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Likumprojekta anotācijā maldinošu ziņu un ierakstu izplatīšana tiek pielīdzināta un atzīta  par negodīgu </w:t>
      </w:r>
      <w:proofErr w:type="spellStart"/>
      <w:r>
        <w:rPr>
          <w:rFonts w:ascii="Arial" w:hAnsi="Arial" w:cs="Arial"/>
          <w:sz w:val="24"/>
          <w:szCs w:val="24"/>
        </w:rPr>
        <w:t>komercpraksi</w:t>
      </w:r>
      <w:proofErr w:type="spellEnd"/>
      <w:r>
        <w:rPr>
          <w:rFonts w:ascii="Arial" w:hAnsi="Arial" w:cs="Arial"/>
          <w:sz w:val="24"/>
          <w:szCs w:val="24"/>
        </w:rPr>
        <w:t xml:space="preserve">. Šis jēdziens ir diskutabls, jo ir plaši interpretējams gadījumā, kad ar ziņu un ierakstu izplatīšanu var saprast atšķirīgu viedokļu paušanu par kādu preci un/vai pakalpojumu. No Likumprojekta redakcijas nav skaidrs, kā tiks konstatēts  negodīgas </w:t>
      </w:r>
      <w:proofErr w:type="spellStart"/>
      <w:r>
        <w:rPr>
          <w:rFonts w:ascii="Arial" w:hAnsi="Arial" w:cs="Arial"/>
          <w:sz w:val="24"/>
          <w:szCs w:val="24"/>
        </w:rPr>
        <w:t>komercprakses</w:t>
      </w:r>
      <w:proofErr w:type="spellEnd"/>
      <w:r>
        <w:rPr>
          <w:rFonts w:ascii="Arial" w:hAnsi="Arial" w:cs="Arial"/>
          <w:sz w:val="24"/>
          <w:szCs w:val="24"/>
        </w:rPr>
        <w:t xml:space="preserve"> fakts konkrētajā situācijā un balstoties tieši uz kādiem kritērijiem šāds novērtējums tiks veikts, kaut arī likumdevējs atzīst, ka tiesiskās aizsardzības līdzekļa piemērošanas priekšnoteikums ir negodīgas </w:t>
      </w:r>
      <w:proofErr w:type="spellStart"/>
      <w:r>
        <w:rPr>
          <w:rFonts w:ascii="Arial" w:hAnsi="Arial" w:cs="Arial"/>
          <w:sz w:val="24"/>
          <w:szCs w:val="24"/>
        </w:rPr>
        <w:t>komercprakses</w:t>
      </w:r>
      <w:proofErr w:type="spellEnd"/>
      <w:r>
        <w:rPr>
          <w:rFonts w:ascii="Arial" w:hAnsi="Arial" w:cs="Arial"/>
          <w:sz w:val="24"/>
          <w:szCs w:val="24"/>
        </w:rPr>
        <w:t xml:space="preserve"> fakta konstatācija. </w:t>
      </w:r>
    </w:p>
    <w:p w14:paraId="1D029B6F" w14:textId="77777777" w:rsidR="002C273B" w:rsidRDefault="002C273B" w:rsidP="002C27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 xml:space="preserve">2. Par 12. iebildumu: LDDK piedāvātā pirmā teikuma redakcija ir ņemta vērā taču ir  izslēgts arī otrais teikums, ko ierosinām saglabāt. </w:t>
      </w:r>
    </w:p>
    <w:p w14:paraId="0811AE18" w14:textId="77777777" w:rsidR="002C273B" w:rsidRDefault="002C273B" w:rsidP="002C273B">
      <w:pPr>
        <w:pStyle w:val="xmsocommenttext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Pamatojums:</w:t>
      </w:r>
    </w:p>
    <w:p w14:paraId="29508E1C" w14:textId="77777777" w:rsidR="002C273B" w:rsidRDefault="002C273B" w:rsidP="002C273B">
      <w:pPr>
        <w:pStyle w:val="xmsocommenttext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Šis princips ir būtisks, lai izvairītos no iespējamiem strīdiem. Likumprojekta anotācijas 7.lappusē īpaši uzsvērts, ka “</w:t>
      </w:r>
      <w:r>
        <w:rPr>
          <w:rFonts w:ascii="Arial" w:hAnsi="Arial" w:cs="Arial"/>
          <w:i/>
          <w:iCs/>
          <w:sz w:val="24"/>
          <w:szCs w:val="24"/>
        </w:rPr>
        <w:t xml:space="preserve">jebkurā gadījumā saglabājams princips, ka naudas soda apmērs ir nosakāms samērīgs ar izdarīto pārkāpumu, ņemot vērā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komercprakses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īstenotāja veiktos pasākumus pārkāpuma novēršanai un zaudējumu atlīdzināšanai</w:t>
      </w:r>
      <w:r>
        <w:rPr>
          <w:rFonts w:ascii="Arial" w:hAnsi="Arial" w:cs="Arial"/>
          <w:sz w:val="24"/>
          <w:szCs w:val="24"/>
        </w:rPr>
        <w:t>”. Tomēr, iepazīstoties ar likumprojekta 8.punktu, redzams, ka 15.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 panta pirmo daļu, kurā iekļauts minētais princips, plānots pilnībā izteikt jaunā redakcijā, izslēdzot tekstu “</w:t>
      </w:r>
      <w:r>
        <w:rPr>
          <w:rFonts w:ascii="Arial" w:hAnsi="Arial" w:cs="Arial"/>
          <w:i/>
          <w:iCs/>
          <w:sz w:val="24"/>
          <w:szCs w:val="24"/>
        </w:rPr>
        <w:t xml:space="preserve">Soda naudas apmērs ir nosakāms samērīgs ar izdarīto pārkāpumu, ņemot vērā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komercprakses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īstenotāja veiktos pasākumus pārkāpuma novēršanai un zaudējumu atlīdzināšanai</w:t>
      </w:r>
      <w:r>
        <w:rPr>
          <w:rFonts w:ascii="Arial" w:hAnsi="Arial" w:cs="Arial"/>
          <w:sz w:val="24"/>
          <w:szCs w:val="24"/>
        </w:rPr>
        <w:t xml:space="preserve">”. </w:t>
      </w:r>
    </w:p>
    <w:p w14:paraId="12689547" w14:textId="77777777" w:rsidR="002C273B" w:rsidRDefault="002C273B" w:rsidP="002C273B">
      <w:pPr>
        <w:jc w:val="both"/>
        <w:rPr>
          <w:rFonts w:ascii="Arial" w:hAnsi="Arial" w:cs="Arial"/>
          <w:sz w:val="24"/>
          <w:szCs w:val="24"/>
        </w:rPr>
      </w:pPr>
    </w:p>
    <w:p w14:paraId="513374BF" w14:textId="77777777" w:rsidR="002C273B" w:rsidRDefault="002C273B" w:rsidP="002C273B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 Papildus LDDK lūdz izvērtēt iespēju svītrot no Likumprojekta 1.pantu un ievērot attiecīgu konsekvenci visā Likumprojektā.</w:t>
      </w:r>
    </w:p>
    <w:p w14:paraId="3E12A6D1" w14:textId="77777777" w:rsidR="002C273B" w:rsidRDefault="002C273B" w:rsidP="002C27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Pamatojums:</w:t>
      </w:r>
    </w:p>
    <w:p w14:paraId="6C967B30" w14:textId="77777777" w:rsidR="002C273B" w:rsidRDefault="002C273B" w:rsidP="002C27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Likumprojekta pirmais pants paredz aizstāt likuma tekstā vārdus “prece vai pakalpojums” (attiecīgajā locījumā) ar tekstu “prece, pakalpojums, tostarp digitāls pakalpojums vai digitāls saturs” (attiecīgajā locījumā). </w:t>
      </w:r>
    </w:p>
    <w:p w14:paraId="6400C36A" w14:textId="77777777" w:rsidR="002C273B" w:rsidRDefault="002C273B" w:rsidP="002C273B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Patērētāju tiesību aizsardzības likuma (turpmāk – PTAL) 1.panta 6.punktā tiek skaidrots termins "prece", kura jēdzieniskais tvērums jau aptver digitālu saturu, paredzot, ka “</w:t>
      </w:r>
      <w:r>
        <w:rPr>
          <w:rFonts w:ascii="Arial" w:hAnsi="Arial" w:cs="Arial"/>
          <w:i/>
          <w:iCs/>
          <w:sz w:val="24"/>
          <w:szCs w:val="24"/>
        </w:rPr>
        <w:t>digitālais saturs kopā ar materiālo datu nesēju (CD, DVD vai līdzīgu materiālo datu nesēju) uzskatāms par preci</w:t>
      </w:r>
      <w:r>
        <w:rPr>
          <w:rFonts w:ascii="Arial" w:hAnsi="Arial" w:cs="Arial"/>
          <w:sz w:val="24"/>
          <w:szCs w:val="24"/>
        </w:rPr>
        <w:t>”. Šajā punktā minēti arī citi preču veidi - "</w:t>
      </w:r>
      <w:r>
        <w:rPr>
          <w:rFonts w:ascii="Arial" w:hAnsi="Arial" w:cs="Arial"/>
          <w:i/>
          <w:iCs/>
          <w:sz w:val="24"/>
          <w:szCs w:val="24"/>
        </w:rPr>
        <w:t>Ūdens, gāze un elektrība uzskatāma par preci, ja to piedāvā vai pārdod ierobežotā tilpumā vai noteiktā daudzumā</w:t>
      </w:r>
      <w:r>
        <w:rPr>
          <w:rFonts w:ascii="Arial" w:hAnsi="Arial" w:cs="Arial"/>
          <w:sz w:val="24"/>
          <w:szCs w:val="24"/>
        </w:rPr>
        <w:t>". Savukārt 1.panta 8.punkts nosaka, ka "</w:t>
      </w:r>
      <w:r>
        <w:rPr>
          <w:rFonts w:ascii="Arial" w:hAnsi="Arial" w:cs="Arial"/>
          <w:i/>
          <w:iCs/>
          <w:sz w:val="24"/>
          <w:szCs w:val="24"/>
        </w:rPr>
        <w:t>digitālais saturs — dati, kas radīti un piegādāti digitālā formātā</w:t>
      </w:r>
      <w:r>
        <w:rPr>
          <w:rFonts w:ascii="Arial" w:hAnsi="Arial" w:cs="Arial"/>
          <w:sz w:val="24"/>
          <w:szCs w:val="24"/>
        </w:rPr>
        <w:t xml:space="preserve">", skaidrojot šo preču veidu sīkāk. Attiecībā uz pakalpojuma definīciju, 1.panta 2.punkts definē pakalpojumu, neattiecinot to uz klātienē sniegtu pakalpojumu, tādejādi aptverot arī digitālos pakalpojumus. </w:t>
      </w:r>
      <w:r>
        <w:rPr>
          <w:rFonts w:ascii="Arial" w:hAnsi="Arial" w:cs="Arial"/>
          <w:sz w:val="24"/>
          <w:szCs w:val="24"/>
        </w:rPr>
        <w:br/>
        <w:t xml:space="preserve">Ņemot vērā, ka PTAL normas jau skaidro un dod ietvaru tam, kas jāsaprot ar preci un pakalpojumu, </w:t>
      </w:r>
      <w:r>
        <w:rPr>
          <w:rFonts w:ascii="Arial" w:hAnsi="Arial" w:cs="Arial"/>
          <w:b/>
          <w:bCs/>
          <w:sz w:val="24"/>
          <w:szCs w:val="24"/>
          <w:u w:val="single"/>
        </w:rPr>
        <w:t>tostarp ietverot arī digitālu saturu un digitālu pakalpojumu</w:t>
      </w:r>
      <w:r>
        <w:rPr>
          <w:rFonts w:ascii="Arial" w:hAnsi="Arial" w:cs="Arial"/>
          <w:sz w:val="24"/>
          <w:szCs w:val="24"/>
        </w:rPr>
        <w:t xml:space="preserve">, neredzam iemeslu to atsevišķi uzsvērt un izdalīt Negodīgas </w:t>
      </w:r>
      <w:proofErr w:type="spellStart"/>
      <w:r>
        <w:rPr>
          <w:rFonts w:ascii="Arial" w:hAnsi="Arial" w:cs="Arial"/>
          <w:sz w:val="24"/>
          <w:szCs w:val="24"/>
        </w:rPr>
        <w:t>komercprakses</w:t>
      </w:r>
      <w:proofErr w:type="spellEnd"/>
      <w:r>
        <w:rPr>
          <w:rFonts w:ascii="Arial" w:hAnsi="Arial" w:cs="Arial"/>
          <w:sz w:val="24"/>
          <w:szCs w:val="24"/>
        </w:rPr>
        <w:t xml:space="preserve"> aizlieguma likumā, jo tas tikai pasliktinātu tiesību akta uztveramību. </w:t>
      </w:r>
    </w:p>
    <w:p w14:paraId="0C55B7C4" w14:textId="77777777" w:rsidR="002C273B" w:rsidRDefault="002C273B" w:rsidP="002C273B"/>
    <w:p w14:paraId="4F779027" w14:textId="77777777" w:rsidR="002C273B" w:rsidRDefault="002C273B" w:rsidP="002C273B">
      <w:pPr>
        <w:rPr>
          <w:lang w:val="en-US" w:eastAsia="lv-LV"/>
        </w:rPr>
      </w:pPr>
      <w:proofErr w:type="spellStart"/>
      <w:r>
        <w:rPr>
          <w:lang w:val="en-US" w:eastAsia="lv-LV"/>
        </w:rPr>
        <w:t>Ar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cieņu</w:t>
      </w:r>
      <w:proofErr w:type="spellEnd"/>
      <w:r>
        <w:rPr>
          <w:lang w:val="en-US" w:eastAsia="lv-LV"/>
        </w:rPr>
        <w:t xml:space="preserve">, </w:t>
      </w:r>
    </w:p>
    <w:p w14:paraId="38E1F99E" w14:textId="77777777" w:rsidR="002C273B" w:rsidRDefault="002C273B" w:rsidP="002C273B">
      <w:pPr>
        <w:rPr>
          <w:lang w:val="en-US" w:eastAsia="lv-LV"/>
        </w:rPr>
      </w:pPr>
    </w:p>
    <w:p w14:paraId="5031E6E2" w14:textId="77777777" w:rsidR="002C273B" w:rsidRDefault="002C273B" w:rsidP="002C273B">
      <w:pPr>
        <w:rPr>
          <w:b/>
          <w:bCs/>
          <w:i/>
          <w:iCs/>
          <w:lang w:val="en-US" w:eastAsia="lv-LV"/>
        </w:rPr>
      </w:pPr>
      <w:r>
        <w:rPr>
          <w:b/>
          <w:bCs/>
          <w:i/>
          <w:iCs/>
          <w:lang w:val="en-US" w:eastAsia="lv-LV"/>
        </w:rPr>
        <w:t>Sintija Siliņa</w:t>
      </w:r>
    </w:p>
    <w:p w14:paraId="257346B1" w14:textId="77777777" w:rsidR="002C273B" w:rsidRDefault="002C273B" w:rsidP="002C273B">
      <w:pPr>
        <w:rPr>
          <w:lang w:val="en-US" w:eastAsia="lv-LV"/>
        </w:rPr>
      </w:pPr>
    </w:p>
    <w:p w14:paraId="526BBEEE" w14:textId="77777777" w:rsidR="002C273B" w:rsidRDefault="002C273B" w:rsidP="002C273B">
      <w:pPr>
        <w:rPr>
          <w:lang w:val="en-US" w:eastAsia="lv-LV"/>
        </w:rPr>
      </w:pPr>
      <w:proofErr w:type="spellStart"/>
      <w:r>
        <w:rPr>
          <w:lang w:val="en-US" w:eastAsia="lv-LV"/>
        </w:rPr>
        <w:t>Latvijas</w:t>
      </w:r>
      <w:proofErr w:type="spellEnd"/>
      <w:r>
        <w:rPr>
          <w:lang w:val="en-US" w:eastAsia="lv-LV"/>
        </w:rPr>
        <w:t xml:space="preserve"> Darba devēju konfederācija</w:t>
      </w:r>
    </w:p>
    <w:p w14:paraId="0A888702" w14:textId="77777777" w:rsidR="002C273B" w:rsidRDefault="002C273B" w:rsidP="002C273B">
      <w:pPr>
        <w:rPr>
          <w:lang w:val="en-US" w:eastAsia="lv-LV"/>
        </w:rPr>
      </w:pPr>
      <w:proofErr w:type="spellStart"/>
      <w:r>
        <w:rPr>
          <w:lang w:val="en-US" w:eastAsia="lv-LV"/>
        </w:rPr>
        <w:t>Projekta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nozaru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eksperts</w:t>
      </w:r>
      <w:proofErr w:type="spellEnd"/>
    </w:p>
    <w:p w14:paraId="32B00356" w14:textId="77777777" w:rsidR="002C273B" w:rsidRDefault="002C273B" w:rsidP="002C273B">
      <w:pPr>
        <w:rPr>
          <w:lang w:val="en-US" w:eastAsia="lv-LV"/>
        </w:rPr>
      </w:pPr>
      <w:r>
        <w:rPr>
          <w:lang w:val="en-US" w:eastAsia="lv-LV"/>
        </w:rPr>
        <w:t xml:space="preserve">  </w:t>
      </w:r>
    </w:p>
    <w:p w14:paraId="257CC925" w14:textId="77777777" w:rsidR="002C273B" w:rsidRDefault="002C273B" w:rsidP="002C273B">
      <w:pPr>
        <w:rPr>
          <w:lang w:val="en-US" w:eastAsia="lv-LV"/>
        </w:rPr>
      </w:pPr>
      <w:proofErr w:type="spellStart"/>
      <w:r>
        <w:rPr>
          <w:lang w:val="en-US" w:eastAsia="lv-LV"/>
        </w:rPr>
        <w:t>Adrese</w:t>
      </w:r>
      <w:proofErr w:type="spellEnd"/>
      <w:r>
        <w:rPr>
          <w:lang w:val="en-US" w:eastAsia="lv-LV"/>
        </w:rPr>
        <w:t xml:space="preserve">: </w:t>
      </w:r>
      <w:proofErr w:type="spellStart"/>
      <w:r>
        <w:rPr>
          <w:lang w:val="en-US" w:eastAsia="lv-LV"/>
        </w:rPr>
        <w:t>Raiņa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bulvāris</w:t>
      </w:r>
      <w:proofErr w:type="spellEnd"/>
      <w:r>
        <w:rPr>
          <w:lang w:val="en-US" w:eastAsia="lv-LV"/>
        </w:rPr>
        <w:t xml:space="preserve"> 4, </w:t>
      </w:r>
      <w:proofErr w:type="spellStart"/>
      <w:r>
        <w:rPr>
          <w:lang w:val="en-US" w:eastAsia="lv-LV"/>
        </w:rPr>
        <w:t>Rīga</w:t>
      </w:r>
      <w:proofErr w:type="spellEnd"/>
      <w:r>
        <w:rPr>
          <w:lang w:val="en-US" w:eastAsia="lv-LV"/>
        </w:rPr>
        <w:t>, LV - 1050</w:t>
      </w:r>
    </w:p>
    <w:p w14:paraId="3F3D4E2F" w14:textId="77777777" w:rsidR="002C273B" w:rsidRDefault="002C273B" w:rsidP="002C273B">
      <w:pPr>
        <w:rPr>
          <w:lang w:val="en-US" w:eastAsia="lv-LV"/>
        </w:rPr>
      </w:pPr>
      <w:r>
        <w:rPr>
          <w:lang w:val="en-US" w:eastAsia="lv-LV"/>
        </w:rPr>
        <w:t xml:space="preserve">E-pasts: </w:t>
      </w:r>
      <w:hyperlink r:id="rId4" w:history="1">
        <w:r>
          <w:rPr>
            <w:rStyle w:val="Hyperlink"/>
            <w:lang w:val="en-US" w:eastAsia="lv-LV"/>
          </w:rPr>
          <w:t>sintija.silina@lddk.lv</w:t>
        </w:r>
      </w:hyperlink>
      <w:r>
        <w:rPr>
          <w:lang w:val="en-US" w:eastAsia="lv-LV"/>
        </w:rPr>
        <w:t xml:space="preserve"> </w:t>
      </w:r>
    </w:p>
    <w:p w14:paraId="2DED2E54" w14:textId="77777777" w:rsidR="002C273B" w:rsidRDefault="002C273B" w:rsidP="002C273B">
      <w:pPr>
        <w:rPr>
          <w:lang w:val="en-US" w:eastAsia="lv-LV"/>
        </w:rPr>
      </w:pPr>
      <w:proofErr w:type="spellStart"/>
      <w:r>
        <w:rPr>
          <w:lang w:val="en-US" w:eastAsia="lv-LV"/>
        </w:rPr>
        <w:t>Tālr</w:t>
      </w:r>
      <w:proofErr w:type="spellEnd"/>
      <w:r>
        <w:rPr>
          <w:lang w:val="en-US" w:eastAsia="lv-LV"/>
        </w:rPr>
        <w:t xml:space="preserve">.: +371 67225162 </w:t>
      </w:r>
    </w:p>
    <w:p w14:paraId="7F170A67" w14:textId="77777777" w:rsidR="002C273B" w:rsidRDefault="002C273B" w:rsidP="002C273B">
      <w:pPr>
        <w:rPr>
          <w:lang w:val="en-US" w:eastAsia="lv-LV"/>
        </w:rPr>
      </w:pPr>
      <w:proofErr w:type="spellStart"/>
      <w:r>
        <w:rPr>
          <w:lang w:val="en-US" w:eastAsia="lv-LV"/>
        </w:rPr>
        <w:t>Mob.tālr</w:t>
      </w:r>
      <w:proofErr w:type="spellEnd"/>
      <w:r>
        <w:rPr>
          <w:lang w:val="en-US" w:eastAsia="lv-LV"/>
        </w:rPr>
        <w:t>.: +371 29499216</w:t>
      </w:r>
    </w:p>
    <w:p w14:paraId="31F712F8" w14:textId="77777777" w:rsidR="002C273B" w:rsidRDefault="002C273B" w:rsidP="002C273B">
      <w:pPr>
        <w:rPr>
          <w:color w:val="1F497D"/>
          <w:lang w:val="en-GB" w:eastAsia="en-GB"/>
        </w:rPr>
      </w:pPr>
      <w:r>
        <w:rPr>
          <w:color w:val="1F497D"/>
          <w:lang w:val="en-GB" w:eastAsia="en-GB"/>
        </w:rPr>
        <w:t> </w:t>
      </w:r>
    </w:p>
    <w:p w14:paraId="6E9F902E" w14:textId="77777777" w:rsidR="002C273B" w:rsidRDefault="002C273B" w:rsidP="002C273B">
      <w:pPr>
        <w:rPr>
          <w:color w:val="1F497D"/>
          <w:lang w:eastAsia="lv-LV"/>
        </w:rPr>
      </w:pPr>
      <w:r>
        <w:rPr>
          <w:noProof/>
          <w:color w:val="1F497D"/>
          <w:lang w:eastAsia="lv-LV"/>
        </w:rPr>
        <w:drawing>
          <wp:inline distT="0" distB="0" distL="0" distR="0" wp14:anchorId="7975D93E" wp14:editId="391C1F6D">
            <wp:extent cx="1593850" cy="6223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B179D" w14:textId="77777777" w:rsidR="00D81EBC" w:rsidRDefault="002C273B">
      <w:bookmarkStart w:id="0" w:name="_GoBack"/>
      <w:bookmarkEnd w:id="0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3B"/>
    <w:rsid w:val="002C273B"/>
    <w:rsid w:val="00A9402B"/>
    <w:rsid w:val="00C3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8D87AA"/>
  <w15:chartTrackingRefBased/>
  <w15:docId w15:val="{5291F738-0837-4B5C-BE98-41438536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73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273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2C273B"/>
    <w:pPr>
      <w:spacing w:before="100" w:beforeAutospacing="1" w:after="100" w:afterAutospacing="1"/>
    </w:pPr>
    <w:rPr>
      <w:lang w:eastAsia="lv-LV"/>
    </w:rPr>
  </w:style>
  <w:style w:type="paragraph" w:customStyle="1" w:styleId="xmsocommenttext">
    <w:name w:val="x_msocommenttext"/>
    <w:basedOn w:val="Normal"/>
    <w:uiPriority w:val="99"/>
    <w:semiHidden/>
    <w:rsid w:val="002C273B"/>
    <w:pPr>
      <w:spacing w:after="160"/>
    </w:pPr>
    <w:rPr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7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2.png@01D7A89A.AC4434A0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sintija.silina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2504</Words>
  <Characters>1428</Characters>
  <Application>Microsoft Office Word</Application>
  <DocSecurity>0</DocSecurity>
  <Lines>11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2021-11-16T18:32:00Z</dcterms:created>
  <dcterms:modified xsi:type="dcterms:W3CDTF">2021-11-16T18:33:00Z</dcterms:modified>
</cp:coreProperties>
</file>